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48B58" w14:textId="77777777" w:rsidR="00244F7B" w:rsidRPr="002D5B84" w:rsidRDefault="00AD31E7" w:rsidP="00E80440">
      <w:pPr>
        <w:spacing w:line="276" w:lineRule="auto"/>
        <w:jc w:val="center"/>
        <w:rPr>
          <w:rFonts w:ascii="Times New Roman" w:hAnsi="Times New Roman" w:cs="Times New Roman"/>
          <w:b/>
          <w:sz w:val="28"/>
          <w:szCs w:val="24"/>
        </w:rPr>
      </w:pPr>
      <w:r w:rsidRPr="002D5B84">
        <w:rPr>
          <w:rFonts w:ascii="Times New Roman" w:hAnsi="Times New Roman" w:cs="Times New Roman"/>
          <w:b/>
          <w:sz w:val="28"/>
          <w:szCs w:val="24"/>
        </w:rPr>
        <w:t>ANEXO AL VII INFORME PERIÓDICO DE ESPAÑA ANTE EL COMITÉ CONTRA LA TORTURA (CAT</w:t>
      </w:r>
      <w:r w:rsidR="008556DC">
        <w:rPr>
          <w:rFonts w:ascii="Times New Roman" w:hAnsi="Times New Roman" w:cs="Times New Roman"/>
          <w:b/>
          <w:sz w:val="28"/>
          <w:szCs w:val="24"/>
        </w:rPr>
        <w:t>)</w:t>
      </w:r>
    </w:p>
    <w:p w14:paraId="3882ADE6" w14:textId="77777777" w:rsidR="00AD31E7" w:rsidRPr="00E01D72" w:rsidRDefault="00AD31E7" w:rsidP="00E01D72">
      <w:pPr>
        <w:spacing w:line="276" w:lineRule="auto"/>
        <w:jc w:val="both"/>
        <w:rPr>
          <w:rFonts w:ascii="Times New Roman" w:hAnsi="Times New Roman" w:cs="Times New Roman"/>
          <w:b/>
          <w:sz w:val="24"/>
          <w:szCs w:val="24"/>
        </w:rPr>
      </w:pPr>
    </w:p>
    <w:p w14:paraId="08561F02" w14:textId="77777777" w:rsidR="00670B5D" w:rsidRPr="002D5B84" w:rsidRDefault="00670B5D" w:rsidP="00E01D72">
      <w:pPr>
        <w:spacing w:line="276" w:lineRule="auto"/>
        <w:jc w:val="both"/>
        <w:rPr>
          <w:rFonts w:ascii="Times New Roman" w:hAnsi="Times New Roman" w:cs="Times New Roman"/>
          <w:b/>
          <w:sz w:val="28"/>
          <w:szCs w:val="24"/>
        </w:rPr>
      </w:pPr>
      <w:r w:rsidRPr="002D5B84">
        <w:rPr>
          <w:rFonts w:ascii="Times New Roman" w:hAnsi="Times New Roman" w:cs="Times New Roman"/>
          <w:b/>
          <w:sz w:val="28"/>
          <w:szCs w:val="24"/>
        </w:rPr>
        <w:t xml:space="preserve">Introducción </w:t>
      </w:r>
    </w:p>
    <w:p w14:paraId="6AF04A05" w14:textId="77777777" w:rsidR="00982F88" w:rsidRPr="00E01D72" w:rsidRDefault="00982F88" w:rsidP="00E01D72">
      <w:pPr>
        <w:pStyle w:val="SingleTxtG"/>
        <w:spacing w:line="276" w:lineRule="auto"/>
        <w:ind w:left="0" w:right="98" w:firstLine="708"/>
        <w:rPr>
          <w:sz w:val="24"/>
          <w:szCs w:val="24"/>
        </w:rPr>
      </w:pPr>
      <w:r w:rsidRPr="00E01D72">
        <w:rPr>
          <w:sz w:val="24"/>
          <w:szCs w:val="24"/>
        </w:rPr>
        <w:t>En cumplimiento del artículo 19 de la Convención contra la Tortura y Otros Tratos o Penas C</w:t>
      </w:r>
      <w:r w:rsidR="00087DA7" w:rsidRPr="00E01D72">
        <w:rPr>
          <w:sz w:val="24"/>
          <w:szCs w:val="24"/>
        </w:rPr>
        <w:t xml:space="preserve">rueles, Inhumanos o </w:t>
      </w:r>
      <w:r w:rsidR="0076314E" w:rsidRPr="00E01D72">
        <w:rPr>
          <w:sz w:val="24"/>
          <w:szCs w:val="24"/>
        </w:rPr>
        <w:t>Degradantes (en adelante la Convención)</w:t>
      </w:r>
      <w:r w:rsidR="00087DA7" w:rsidRPr="00E01D72">
        <w:rPr>
          <w:sz w:val="24"/>
          <w:szCs w:val="24"/>
        </w:rPr>
        <w:t xml:space="preserve">, </w:t>
      </w:r>
      <w:r w:rsidR="005A115D">
        <w:rPr>
          <w:sz w:val="24"/>
          <w:szCs w:val="24"/>
        </w:rPr>
        <w:t>España presentó</w:t>
      </w:r>
      <w:r w:rsidRPr="00E01D72">
        <w:rPr>
          <w:sz w:val="24"/>
          <w:szCs w:val="24"/>
        </w:rPr>
        <w:t xml:space="preserve"> </w:t>
      </w:r>
      <w:r w:rsidR="00427301" w:rsidRPr="00486A98">
        <w:rPr>
          <w:sz w:val="24"/>
          <w:szCs w:val="24"/>
        </w:rPr>
        <w:t>el 4 de junio de 2019</w:t>
      </w:r>
      <w:r w:rsidR="00427301">
        <w:rPr>
          <w:sz w:val="24"/>
          <w:szCs w:val="24"/>
        </w:rPr>
        <w:t xml:space="preserve"> </w:t>
      </w:r>
      <w:r w:rsidRPr="00E01D72">
        <w:rPr>
          <w:sz w:val="24"/>
          <w:szCs w:val="24"/>
        </w:rPr>
        <w:t>su VI</w:t>
      </w:r>
      <w:r w:rsidR="00FB5450" w:rsidRPr="00E01D72">
        <w:rPr>
          <w:sz w:val="24"/>
          <w:szCs w:val="24"/>
        </w:rPr>
        <w:t>I</w:t>
      </w:r>
      <w:r w:rsidRPr="00E01D72">
        <w:rPr>
          <w:sz w:val="24"/>
          <w:szCs w:val="24"/>
        </w:rPr>
        <w:t xml:space="preserve"> informe periódico</w:t>
      </w:r>
      <w:r w:rsidR="00427301" w:rsidRPr="00427301">
        <w:rPr>
          <w:sz w:val="24"/>
          <w:szCs w:val="24"/>
        </w:rPr>
        <w:t xml:space="preserve"> </w:t>
      </w:r>
      <w:r w:rsidR="00427301" w:rsidRPr="00E01D72">
        <w:rPr>
          <w:sz w:val="24"/>
          <w:szCs w:val="24"/>
        </w:rPr>
        <w:t>ante el Comité contra la Tortura</w:t>
      </w:r>
      <w:r w:rsidRPr="00E01D72">
        <w:rPr>
          <w:sz w:val="24"/>
          <w:szCs w:val="24"/>
        </w:rPr>
        <w:t xml:space="preserve">. Siguiendo el nuevo procedimiento establecido por el Comité en su 38º periodo de sesiones, el informe de España </w:t>
      </w:r>
      <w:r w:rsidR="00B62A58">
        <w:rPr>
          <w:sz w:val="24"/>
          <w:szCs w:val="24"/>
        </w:rPr>
        <w:t>dio respuesta</w:t>
      </w:r>
      <w:r w:rsidRPr="00E01D72">
        <w:rPr>
          <w:sz w:val="24"/>
          <w:szCs w:val="24"/>
        </w:rPr>
        <w:t xml:space="preserve"> a las preguntas que el Comité formuló específicamente en su </w:t>
      </w:r>
      <w:r w:rsidR="00087DA7" w:rsidRPr="00E01D72">
        <w:rPr>
          <w:sz w:val="24"/>
          <w:szCs w:val="24"/>
        </w:rPr>
        <w:t>62</w:t>
      </w:r>
      <w:r w:rsidR="00FF3A77" w:rsidRPr="00E01D72">
        <w:rPr>
          <w:sz w:val="24"/>
          <w:szCs w:val="24"/>
        </w:rPr>
        <w:t>º</w:t>
      </w:r>
      <w:r w:rsidRPr="00E01D72">
        <w:rPr>
          <w:sz w:val="24"/>
          <w:szCs w:val="24"/>
        </w:rPr>
        <w:t xml:space="preserve"> periodo de sesiones.   </w:t>
      </w:r>
    </w:p>
    <w:p w14:paraId="1F5487CC" w14:textId="77777777" w:rsidR="00FB5450" w:rsidRPr="00486A98" w:rsidRDefault="003322BE" w:rsidP="00486A98">
      <w:pPr>
        <w:pStyle w:val="SingleTxtG"/>
        <w:spacing w:line="276" w:lineRule="auto"/>
        <w:ind w:left="0" w:right="98" w:firstLine="708"/>
        <w:rPr>
          <w:sz w:val="24"/>
          <w:szCs w:val="24"/>
        </w:rPr>
      </w:pPr>
      <w:r>
        <w:rPr>
          <w:sz w:val="24"/>
          <w:szCs w:val="24"/>
        </w:rPr>
        <w:t>Teniendo en cuenta</w:t>
      </w:r>
      <w:r w:rsidR="00FB5450" w:rsidRPr="00486A98">
        <w:rPr>
          <w:sz w:val="24"/>
          <w:szCs w:val="24"/>
        </w:rPr>
        <w:t xml:space="preserve"> el tiempo transcurrido desde la </w:t>
      </w:r>
      <w:r>
        <w:rPr>
          <w:sz w:val="24"/>
          <w:szCs w:val="24"/>
        </w:rPr>
        <w:t>r</w:t>
      </w:r>
      <w:r w:rsidR="00FB5450" w:rsidRPr="00486A98">
        <w:rPr>
          <w:sz w:val="24"/>
          <w:szCs w:val="24"/>
        </w:rPr>
        <w:t xml:space="preserve">emisión del VII informe </w:t>
      </w:r>
      <w:r>
        <w:rPr>
          <w:sz w:val="24"/>
          <w:szCs w:val="24"/>
        </w:rPr>
        <w:t xml:space="preserve">periódico, </w:t>
      </w:r>
      <w:r w:rsidR="001503D0" w:rsidRPr="00486A98">
        <w:rPr>
          <w:sz w:val="24"/>
          <w:szCs w:val="24"/>
        </w:rPr>
        <w:t>España</w:t>
      </w:r>
      <w:r w:rsidR="00FB5450" w:rsidRPr="00486A98">
        <w:rPr>
          <w:sz w:val="24"/>
          <w:szCs w:val="24"/>
        </w:rPr>
        <w:t xml:space="preserve"> </w:t>
      </w:r>
      <w:r w:rsidR="003930C0" w:rsidRPr="00486A98">
        <w:rPr>
          <w:sz w:val="24"/>
          <w:szCs w:val="24"/>
        </w:rPr>
        <w:t>presenta</w:t>
      </w:r>
      <w:r w:rsidR="00FB5450" w:rsidRPr="00486A98">
        <w:rPr>
          <w:sz w:val="24"/>
          <w:szCs w:val="24"/>
        </w:rPr>
        <w:t xml:space="preserve"> este documento </w:t>
      </w:r>
      <w:r>
        <w:rPr>
          <w:sz w:val="24"/>
          <w:szCs w:val="24"/>
        </w:rPr>
        <w:t xml:space="preserve">como </w:t>
      </w:r>
      <w:r w:rsidR="003930C0" w:rsidRPr="00486A98">
        <w:rPr>
          <w:sz w:val="24"/>
          <w:szCs w:val="24"/>
        </w:rPr>
        <w:t xml:space="preserve">anexo </w:t>
      </w:r>
      <w:r>
        <w:rPr>
          <w:sz w:val="24"/>
          <w:szCs w:val="24"/>
        </w:rPr>
        <w:t>al informe</w:t>
      </w:r>
      <w:r w:rsidR="00AE7C4F">
        <w:rPr>
          <w:sz w:val="24"/>
          <w:szCs w:val="24"/>
        </w:rPr>
        <w:t>,</w:t>
      </w:r>
      <w:r>
        <w:rPr>
          <w:sz w:val="24"/>
          <w:szCs w:val="24"/>
        </w:rPr>
        <w:t xml:space="preserve"> con datos actualizados e información suplementaria desde el año 2019 hasta </w:t>
      </w:r>
      <w:r w:rsidR="00AE7C4F">
        <w:rPr>
          <w:sz w:val="24"/>
          <w:szCs w:val="24"/>
        </w:rPr>
        <w:t xml:space="preserve">la actualidad, antes de su consideración pública. </w:t>
      </w:r>
    </w:p>
    <w:p w14:paraId="08EA58D5" w14:textId="77777777" w:rsidR="00FB5450" w:rsidRPr="00E01D72" w:rsidRDefault="00FB5450" w:rsidP="00E01D72">
      <w:pPr>
        <w:spacing w:line="276" w:lineRule="auto"/>
        <w:ind w:firstLine="708"/>
        <w:jc w:val="both"/>
        <w:rPr>
          <w:rFonts w:ascii="Times New Roman" w:hAnsi="Times New Roman" w:cs="Times New Roman"/>
          <w:sz w:val="24"/>
          <w:szCs w:val="24"/>
          <w:lang w:val="es-ES_tradnl"/>
        </w:rPr>
      </w:pPr>
      <w:r w:rsidRPr="00E01D72">
        <w:rPr>
          <w:rFonts w:ascii="Times New Roman" w:hAnsi="Times New Roman" w:cs="Times New Roman"/>
          <w:sz w:val="24"/>
          <w:szCs w:val="24"/>
          <w:lang w:val="es-ES_tradnl"/>
        </w:rPr>
        <w:t xml:space="preserve">España está plenamente comprometida con la promoción y protección de los derechos humanos, </w:t>
      </w:r>
      <w:r w:rsidR="0076314E" w:rsidRPr="00E01D72">
        <w:rPr>
          <w:rFonts w:ascii="Times New Roman" w:hAnsi="Times New Roman" w:cs="Times New Roman"/>
          <w:sz w:val="24"/>
          <w:szCs w:val="24"/>
          <w:lang w:val="es-ES_tradnl"/>
        </w:rPr>
        <w:t xml:space="preserve">incluyendo la lucha contra las violaciones de derechos humanos </w:t>
      </w:r>
      <w:r w:rsidR="00376885">
        <w:rPr>
          <w:rFonts w:ascii="Times New Roman" w:hAnsi="Times New Roman" w:cs="Times New Roman"/>
          <w:sz w:val="24"/>
          <w:szCs w:val="24"/>
          <w:lang w:val="es-ES_tradnl"/>
        </w:rPr>
        <w:t>de conformidad con las disposiciones recogidas</w:t>
      </w:r>
      <w:r w:rsidR="0076314E" w:rsidRPr="00E01D72">
        <w:rPr>
          <w:rFonts w:ascii="Times New Roman" w:hAnsi="Times New Roman" w:cs="Times New Roman"/>
          <w:sz w:val="24"/>
          <w:szCs w:val="24"/>
          <w:lang w:val="es-ES_tradnl"/>
        </w:rPr>
        <w:t xml:space="preserve"> en la Convención. </w:t>
      </w:r>
      <w:r w:rsidRPr="00E01D72">
        <w:rPr>
          <w:rFonts w:ascii="Times New Roman" w:hAnsi="Times New Roman" w:cs="Times New Roman"/>
          <w:sz w:val="24"/>
          <w:szCs w:val="24"/>
          <w:lang w:val="es-ES_tradnl"/>
        </w:rPr>
        <w:t xml:space="preserve">Fiel reflejo de este compromiso es la elaboración del II Plan Nacional de Derechos Humanos que dará continuidad a los compromisos internacionales adoptados por España para garantizar la promoción y defensa de los derechos humanos. </w:t>
      </w:r>
    </w:p>
    <w:p w14:paraId="215E8DF1" w14:textId="77777777" w:rsidR="00FB5450" w:rsidRPr="00E01D72" w:rsidRDefault="00FB5450" w:rsidP="00E01D72">
      <w:pPr>
        <w:pStyle w:val="SingleTxtG"/>
        <w:spacing w:line="276" w:lineRule="auto"/>
        <w:ind w:left="0" w:right="98"/>
        <w:rPr>
          <w:b/>
          <w:sz w:val="24"/>
          <w:szCs w:val="24"/>
        </w:rPr>
      </w:pPr>
    </w:p>
    <w:p w14:paraId="4378109F" w14:textId="77777777" w:rsidR="002D5B84" w:rsidRPr="002D5B84" w:rsidRDefault="000E46D6" w:rsidP="00E01D72">
      <w:pPr>
        <w:spacing w:line="276" w:lineRule="auto"/>
        <w:jc w:val="both"/>
        <w:rPr>
          <w:rFonts w:ascii="Times New Roman" w:eastAsia="Times New Roman" w:hAnsi="Times New Roman" w:cs="Times New Roman"/>
          <w:b/>
          <w:sz w:val="28"/>
          <w:szCs w:val="24"/>
          <w:lang w:eastAsia="es-ES"/>
        </w:rPr>
      </w:pPr>
      <w:r>
        <w:rPr>
          <w:rFonts w:ascii="Times New Roman" w:eastAsia="Times New Roman" w:hAnsi="Times New Roman" w:cs="Times New Roman"/>
          <w:b/>
          <w:sz w:val="28"/>
          <w:szCs w:val="24"/>
          <w:lang w:eastAsia="es-ES"/>
        </w:rPr>
        <w:t>Artículo 2</w:t>
      </w:r>
    </w:p>
    <w:p w14:paraId="702274D5" w14:textId="77777777" w:rsidR="003F6371" w:rsidRPr="00E01D72" w:rsidRDefault="000E46D6" w:rsidP="00E01D72">
      <w:pPr>
        <w:spacing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Respuesta al párrafo 4 de la lista de cuestiones </w:t>
      </w:r>
    </w:p>
    <w:p w14:paraId="74E8FDBF" w14:textId="77777777" w:rsidR="00E01D72" w:rsidRPr="00E01D72" w:rsidRDefault="002C3B73" w:rsidP="00E01D72">
      <w:pPr>
        <w:spacing w:before="100" w:beforeAutospacing="1" w:after="100" w:afterAutospacing="1" w:line="276" w:lineRule="auto"/>
        <w:ind w:firstLine="708"/>
        <w:jc w:val="both"/>
        <w:rPr>
          <w:rFonts w:ascii="Times New Roman" w:eastAsia="Times New Roman" w:hAnsi="Times New Roman" w:cs="Times New Roman"/>
          <w:sz w:val="24"/>
          <w:szCs w:val="24"/>
          <w:lang w:eastAsia="es-ES"/>
        </w:rPr>
      </w:pPr>
      <w:r w:rsidRPr="00E01D72">
        <w:rPr>
          <w:rFonts w:ascii="Times New Roman" w:eastAsia="Times New Roman" w:hAnsi="Times New Roman" w:cs="Times New Roman"/>
          <w:sz w:val="24"/>
          <w:szCs w:val="24"/>
          <w:lang w:eastAsia="es-ES"/>
        </w:rPr>
        <w:t xml:space="preserve">De acuerdo con los datos disponibles </w:t>
      </w:r>
      <w:r w:rsidR="00333C6B">
        <w:rPr>
          <w:rFonts w:ascii="Times New Roman" w:eastAsia="Times New Roman" w:hAnsi="Times New Roman" w:cs="Times New Roman"/>
          <w:sz w:val="24"/>
          <w:szCs w:val="24"/>
          <w:lang w:eastAsia="es-ES"/>
        </w:rPr>
        <w:t>hast</w:t>
      </w:r>
      <w:r w:rsidRPr="00E01D72">
        <w:rPr>
          <w:rFonts w:ascii="Times New Roman" w:eastAsia="Times New Roman" w:hAnsi="Times New Roman" w:cs="Times New Roman"/>
          <w:sz w:val="24"/>
          <w:szCs w:val="24"/>
          <w:lang w:eastAsia="es-ES"/>
        </w:rPr>
        <w:t xml:space="preserve">a la fecha, </w:t>
      </w:r>
      <w:r w:rsidR="00401BF3">
        <w:rPr>
          <w:rFonts w:ascii="Times New Roman" w:eastAsia="Times New Roman" w:hAnsi="Times New Roman" w:cs="Times New Roman"/>
          <w:sz w:val="24"/>
          <w:szCs w:val="24"/>
          <w:lang w:eastAsia="es-ES"/>
        </w:rPr>
        <w:t xml:space="preserve">la </w:t>
      </w:r>
      <w:r w:rsidRPr="00E01D72">
        <w:rPr>
          <w:rFonts w:ascii="Times New Roman" w:eastAsia="Times New Roman" w:hAnsi="Times New Roman" w:cs="Times New Roman"/>
          <w:sz w:val="24"/>
          <w:szCs w:val="24"/>
          <w:lang w:eastAsia="es-ES"/>
        </w:rPr>
        <w:t xml:space="preserve">Policía Nacional cuenta con un total de 610 centros de atención al ciudadano de los cuales 426 tienen horario de atención al público permanente (24 horas al día, 365 días al año) y 184 </w:t>
      </w:r>
      <w:r w:rsidR="00BF326C">
        <w:rPr>
          <w:rFonts w:ascii="Times New Roman" w:eastAsia="Times New Roman" w:hAnsi="Times New Roman" w:cs="Times New Roman"/>
          <w:sz w:val="24"/>
          <w:szCs w:val="24"/>
          <w:lang w:eastAsia="es-ES"/>
        </w:rPr>
        <w:t xml:space="preserve">tienen </w:t>
      </w:r>
      <w:r w:rsidRPr="00E01D72">
        <w:rPr>
          <w:rFonts w:ascii="Times New Roman" w:eastAsia="Times New Roman" w:hAnsi="Times New Roman" w:cs="Times New Roman"/>
          <w:sz w:val="24"/>
          <w:szCs w:val="24"/>
          <w:lang w:eastAsia="es-ES"/>
        </w:rPr>
        <w:t>horario de atención al público discontinuo.</w:t>
      </w:r>
    </w:p>
    <w:p w14:paraId="295B77A8" w14:textId="77777777" w:rsidR="00BD3788" w:rsidRPr="00E01D72" w:rsidRDefault="00BC1626" w:rsidP="00E01D72">
      <w:pPr>
        <w:spacing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Respuesta al párrafo 5 de la lista de cuestiones </w:t>
      </w:r>
    </w:p>
    <w:p w14:paraId="350A37D5" w14:textId="77777777" w:rsidR="00D64BD7" w:rsidRPr="00BE6AAC" w:rsidRDefault="00D64BD7" w:rsidP="00E01D72">
      <w:pPr>
        <w:spacing w:line="276" w:lineRule="auto"/>
        <w:jc w:val="both"/>
        <w:rPr>
          <w:rFonts w:ascii="Times New Roman" w:hAnsi="Times New Roman" w:cs="Times New Roman"/>
          <w:sz w:val="24"/>
          <w:szCs w:val="24"/>
          <w:u w:val="single"/>
        </w:rPr>
      </w:pPr>
      <w:r w:rsidRPr="00BE6AAC">
        <w:rPr>
          <w:rFonts w:ascii="Times New Roman" w:hAnsi="Times New Roman" w:cs="Times New Roman"/>
          <w:sz w:val="24"/>
          <w:szCs w:val="24"/>
          <w:u w:val="single"/>
        </w:rPr>
        <w:t>Datos estadísticos</w:t>
      </w:r>
    </w:p>
    <w:p w14:paraId="640CAB03" w14:textId="77777777" w:rsidR="00D929AA" w:rsidRPr="00BE6AAC" w:rsidRDefault="00BD3788" w:rsidP="00BE6AAC">
      <w:pPr>
        <w:spacing w:line="276" w:lineRule="auto"/>
        <w:ind w:firstLine="708"/>
        <w:jc w:val="both"/>
        <w:rPr>
          <w:rFonts w:ascii="Times New Roman" w:hAnsi="Times New Roman" w:cs="Times New Roman"/>
          <w:sz w:val="24"/>
          <w:szCs w:val="24"/>
        </w:rPr>
      </w:pPr>
      <w:r w:rsidRPr="00BE6AAC">
        <w:rPr>
          <w:rFonts w:ascii="Times New Roman" w:hAnsi="Times New Roman" w:cs="Times New Roman"/>
          <w:sz w:val="24"/>
          <w:szCs w:val="24"/>
        </w:rPr>
        <w:t xml:space="preserve"> </w:t>
      </w:r>
      <w:r w:rsidR="00BE6AAC" w:rsidRPr="00BE6AAC">
        <w:rPr>
          <w:rFonts w:ascii="Times New Roman" w:hAnsi="Times New Roman" w:cs="Times New Roman"/>
          <w:sz w:val="24"/>
          <w:szCs w:val="24"/>
        </w:rPr>
        <w:t xml:space="preserve">Los datos </w:t>
      </w:r>
      <w:r w:rsidRPr="00BE6AAC">
        <w:rPr>
          <w:rFonts w:ascii="Times New Roman" w:hAnsi="Times New Roman" w:cs="Times New Roman"/>
          <w:sz w:val="24"/>
          <w:szCs w:val="24"/>
        </w:rPr>
        <w:t xml:space="preserve">sobre casos de violencia de género y violencia doméstica, </w:t>
      </w:r>
      <w:r w:rsidR="00BE6AAC" w:rsidRPr="00BE6AAC">
        <w:rPr>
          <w:rFonts w:ascii="Times New Roman" w:hAnsi="Times New Roman" w:cs="Times New Roman"/>
          <w:sz w:val="24"/>
          <w:szCs w:val="24"/>
        </w:rPr>
        <w:t>el n</w:t>
      </w:r>
      <w:r w:rsidRPr="00BE6AAC">
        <w:rPr>
          <w:rFonts w:ascii="Times New Roman" w:hAnsi="Times New Roman" w:cs="Times New Roman"/>
          <w:sz w:val="24"/>
          <w:szCs w:val="24"/>
        </w:rPr>
        <w:t>úmero de denuncias presentadas, denuncias investigadas, enjuiciamientos y condenas, y sanciones impuestas</w:t>
      </w:r>
      <w:r w:rsidR="00BE6AAC" w:rsidRPr="00BE6AAC">
        <w:rPr>
          <w:rFonts w:ascii="Times New Roman" w:hAnsi="Times New Roman" w:cs="Times New Roman"/>
          <w:sz w:val="24"/>
          <w:szCs w:val="24"/>
        </w:rPr>
        <w:t xml:space="preserve"> a los responsables, desde el año 2019 hasta la actualidad, se encuentran disponibles en los Boletines Estadísticos Anuales de la página web de la Delegación del Gobierno contra la Violencia de Género (</w:t>
      </w:r>
      <w:r w:rsidR="00B87F38">
        <w:rPr>
          <w:rFonts w:ascii="Times New Roman" w:hAnsi="Times New Roman" w:cs="Times New Roman"/>
          <w:sz w:val="24"/>
          <w:szCs w:val="24"/>
        </w:rPr>
        <w:t xml:space="preserve">en adelante </w:t>
      </w:r>
      <w:r w:rsidR="00BE6AAC" w:rsidRPr="00BE6AAC">
        <w:rPr>
          <w:rFonts w:ascii="Times New Roman" w:hAnsi="Times New Roman" w:cs="Times New Roman"/>
          <w:sz w:val="24"/>
          <w:szCs w:val="24"/>
        </w:rPr>
        <w:t>DGVG)</w:t>
      </w:r>
      <w:r w:rsidR="009D0636">
        <w:rPr>
          <w:rFonts w:ascii="Times New Roman" w:hAnsi="Times New Roman" w:cs="Times New Roman"/>
          <w:sz w:val="24"/>
          <w:szCs w:val="24"/>
        </w:rPr>
        <w:t xml:space="preserve">: </w:t>
      </w:r>
      <w:hyperlink r:id="rId8" w:history="1">
        <w:r w:rsidR="00EB4681" w:rsidRPr="00FE3E7B">
          <w:rPr>
            <w:rStyle w:val="Hyperlink"/>
            <w:rFonts w:ascii="Times New Roman" w:hAnsi="Times New Roman" w:cs="Times New Roman"/>
            <w:sz w:val="24"/>
            <w:szCs w:val="24"/>
          </w:rPr>
          <w:t>https://violenciagenero.igualdad.gob.es/violenciaEnCifras/boletines/boletinAnual/home.htm</w:t>
        </w:r>
      </w:hyperlink>
      <w:r w:rsidR="00EB4681">
        <w:rPr>
          <w:rFonts w:ascii="Times New Roman" w:hAnsi="Times New Roman" w:cs="Times New Roman"/>
          <w:sz w:val="24"/>
          <w:szCs w:val="24"/>
        </w:rPr>
        <w:t xml:space="preserve"> </w:t>
      </w:r>
    </w:p>
    <w:p w14:paraId="55097A9D" w14:textId="77777777" w:rsidR="00E01D72" w:rsidRPr="00BD51E7" w:rsidRDefault="00E01D72" w:rsidP="00E01D72">
      <w:pPr>
        <w:spacing w:line="276" w:lineRule="auto"/>
        <w:jc w:val="both"/>
        <w:rPr>
          <w:rFonts w:ascii="Times New Roman" w:hAnsi="Times New Roman" w:cs="Times New Roman"/>
          <w:sz w:val="6"/>
          <w:szCs w:val="6"/>
        </w:rPr>
      </w:pPr>
    </w:p>
    <w:p w14:paraId="67B1C1C8" w14:textId="77777777" w:rsidR="00324E87" w:rsidRPr="00E01D72" w:rsidRDefault="00324E87" w:rsidP="00324E87">
      <w:pPr>
        <w:spacing w:line="276"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Respuesta al párrafo 6 de la lista de cuestiones </w:t>
      </w:r>
    </w:p>
    <w:p w14:paraId="29641350" w14:textId="77777777" w:rsidR="00344CA6" w:rsidRPr="00E01D72" w:rsidRDefault="001E25D2" w:rsidP="00E01D72">
      <w:pPr>
        <w:spacing w:before="120" w:after="120" w:line="276" w:lineRule="auto"/>
        <w:ind w:firstLine="708"/>
        <w:jc w:val="both"/>
        <w:rPr>
          <w:rFonts w:ascii="Times New Roman" w:hAnsi="Times New Roman" w:cs="Times New Roman"/>
          <w:sz w:val="24"/>
          <w:szCs w:val="24"/>
        </w:rPr>
      </w:pPr>
      <w:r w:rsidRPr="00E01D72">
        <w:rPr>
          <w:rFonts w:ascii="Times New Roman" w:hAnsi="Times New Roman" w:cs="Times New Roman"/>
          <w:sz w:val="24"/>
          <w:szCs w:val="24"/>
        </w:rPr>
        <w:t>Respecto al acceso a la justicia de las víctimas de violencia de género, España cuenta con un marco legal en esta materia compues</w:t>
      </w:r>
      <w:r w:rsidR="006E7D7C">
        <w:rPr>
          <w:rFonts w:ascii="Times New Roman" w:hAnsi="Times New Roman" w:cs="Times New Roman"/>
          <w:sz w:val="24"/>
          <w:szCs w:val="24"/>
        </w:rPr>
        <w:t xml:space="preserve">to por leyes de ámbito estatal y </w:t>
      </w:r>
      <w:r w:rsidRPr="00E01D72">
        <w:rPr>
          <w:rFonts w:ascii="Times New Roman" w:hAnsi="Times New Roman" w:cs="Times New Roman"/>
          <w:sz w:val="24"/>
          <w:szCs w:val="24"/>
        </w:rPr>
        <w:t>de leyes autonómicas. Todo ello se ha ido modificando y ampliando en los últimos años para favorecer el acceso de las mujeres a la justicia, a medios de reparación y de protección efectivo, y la puesta a su disposición de recursos técnicos, humanos y materiales para su atención integral.</w:t>
      </w:r>
    </w:p>
    <w:p w14:paraId="7F45AEFD" w14:textId="77777777" w:rsidR="00906E2E" w:rsidRPr="00E01D72" w:rsidRDefault="00906E2E" w:rsidP="00E01D72">
      <w:pPr>
        <w:spacing w:before="120" w:after="120" w:line="276" w:lineRule="auto"/>
        <w:ind w:firstLine="708"/>
        <w:jc w:val="both"/>
        <w:rPr>
          <w:rFonts w:ascii="Times New Roman" w:hAnsi="Times New Roman" w:cs="Times New Roman"/>
          <w:sz w:val="24"/>
          <w:szCs w:val="24"/>
        </w:rPr>
      </w:pPr>
    </w:p>
    <w:p w14:paraId="2F571254" w14:textId="77777777" w:rsidR="00344CA6" w:rsidRPr="00E01D72" w:rsidRDefault="00344CA6" w:rsidP="00E01D72">
      <w:pPr>
        <w:spacing w:before="120" w:after="120" w:line="276" w:lineRule="auto"/>
        <w:ind w:firstLine="142"/>
        <w:jc w:val="both"/>
        <w:rPr>
          <w:rFonts w:ascii="Times New Roman" w:hAnsi="Times New Roman" w:cs="Times New Roman"/>
          <w:sz w:val="24"/>
          <w:szCs w:val="24"/>
          <w:u w:val="single"/>
        </w:rPr>
      </w:pPr>
      <w:r w:rsidRPr="00E01D72">
        <w:rPr>
          <w:rFonts w:ascii="Times New Roman" w:hAnsi="Times New Roman" w:cs="Times New Roman"/>
          <w:sz w:val="24"/>
          <w:szCs w:val="24"/>
          <w:u w:val="single"/>
        </w:rPr>
        <w:t xml:space="preserve">Reformas de instrumentos legales </w:t>
      </w:r>
    </w:p>
    <w:p w14:paraId="3A66E214" w14:textId="77777777" w:rsidR="001E25D2" w:rsidRPr="00E01D72" w:rsidRDefault="00A334A8" w:rsidP="00E01D72">
      <w:pPr>
        <w:spacing w:before="120" w:after="120" w:line="276" w:lineRule="auto"/>
        <w:ind w:firstLine="708"/>
        <w:jc w:val="both"/>
        <w:rPr>
          <w:rFonts w:ascii="Times New Roman" w:hAnsi="Times New Roman" w:cs="Times New Roman"/>
          <w:sz w:val="24"/>
          <w:szCs w:val="24"/>
        </w:rPr>
      </w:pPr>
      <w:r w:rsidRPr="00E01D72">
        <w:rPr>
          <w:rFonts w:ascii="Times New Roman" w:hAnsi="Times New Roman" w:cs="Times New Roman"/>
          <w:sz w:val="24"/>
          <w:szCs w:val="24"/>
        </w:rPr>
        <w:t>En referencia al</w:t>
      </w:r>
      <w:r w:rsidR="001E25D2" w:rsidRPr="00E01D72">
        <w:rPr>
          <w:rFonts w:ascii="Times New Roman" w:hAnsi="Times New Roman" w:cs="Times New Roman"/>
          <w:sz w:val="24"/>
          <w:szCs w:val="24"/>
        </w:rPr>
        <w:t xml:space="preserve"> marco jurídico estatal, desde</w:t>
      </w:r>
      <w:r w:rsidR="00987B05" w:rsidRPr="00E01D72">
        <w:rPr>
          <w:rFonts w:ascii="Times New Roman" w:hAnsi="Times New Roman" w:cs="Times New Roman"/>
          <w:sz w:val="24"/>
          <w:szCs w:val="24"/>
        </w:rPr>
        <w:t xml:space="preserve"> el año 2019 </w:t>
      </w:r>
      <w:r w:rsidR="00196CE6">
        <w:rPr>
          <w:rFonts w:ascii="Times New Roman" w:hAnsi="Times New Roman" w:cs="Times New Roman"/>
          <w:sz w:val="24"/>
          <w:szCs w:val="24"/>
        </w:rPr>
        <w:t>cabe destacar</w:t>
      </w:r>
      <w:r w:rsidR="00987B05" w:rsidRPr="00E01D72">
        <w:rPr>
          <w:rFonts w:ascii="Times New Roman" w:hAnsi="Times New Roman" w:cs="Times New Roman"/>
          <w:sz w:val="24"/>
          <w:szCs w:val="24"/>
        </w:rPr>
        <w:t xml:space="preserve"> las siguiente</w:t>
      </w:r>
      <w:r w:rsidR="001E25D2" w:rsidRPr="00E01D72">
        <w:rPr>
          <w:rFonts w:ascii="Times New Roman" w:hAnsi="Times New Roman" w:cs="Times New Roman"/>
          <w:sz w:val="24"/>
          <w:szCs w:val="24"/>
        </w:rPr>
        <w:t xml:space="preserve">s </w:t>
      </w:r>
      <w:r w:rsidR="00987B05" w:rsidRPr="00E01D72">
        <w:rPr>
          <w:rFonts w:ascii="Times New Roman" w:hAnsi="Times New Roman" w:cs="Times New Roman"/>
          <w:sz w:val="24"/>
          <w:szCs w:val="24"/>
        </w:rPr>
        <w:t xml:space="preserve">reformas de </w:t>
      </w:r>
      <w:r w:rsidR="001E25D2" w:rsidRPr="00E01D72">
        <w:rPr>
          <w:rFonts w:ascii="Times New Roman" w:hAnsi="Times New Roman" w:cs="Times New Roman"/>
          <w:sz w:val="24"/>
          <w:szCs w:val="24"/>
        </w:rPr>
        <w:t>instrumentos legales:</w:t>
      </w:r>
    </w:p>
    <w:p w14:paraId="17FBF0A3" w14:textId="77777777" w:rsidR="00CF3ACF" w:rsidRPr="00E01D72" w:rsidRDefault="008A0B3B" w:rsidP="00E01D72">
      <w:pPr>
        <w:spacing w:before="60" w:after="60" w:line="276" w:lineRule="auto"/>
        <w:ind w:firstLine="708"/>
        <w:jc w:val="both"/>
        <w:rPr>
          <w:rFonts w:ascii="Times New Roman" w:hAnsi="Times New Roman" w:cs="Times New Roman"/>
          <w:sz w:val="24"/>
          <w:szCs w:val="24"/>
        </w:rPr>
      </w:pPr>
      <w:r w:rsidRPr="00E01D72">
        <w:rPr>
          <w:rFonts w:ascii="Times New Roman" w:hAnsi="Times New Roman" w:cs="Times New Roman"/>
          <w:sz w:val="24"/>
          <w:szCs w:val="24"/>
        </w:rPr>
        <w:t xml:space="preserve">La </w:t>
      </w:r>
      <w:r w:rsidR="001E25D2" w:rsidRPr="00E01D72">
        <w:rPr>
          <w:rFonts w:ascii="Times New Roman" w:hAnsi="Times New Roman" w:cs="Times New Roman"/>
          <w:i/>
          <w:sz w:val="24"/>
          <w:szCs w:val="24"/>
        </w:rPr>
        <w:t xml:space="preserve">Ley Orgánica </w:t>
      </w:r>
      <w:r w:rsidRPr="00E01D72">
        <w:rPr>
          <w:rFonts w:ascii="Times New Roman" w:hAnsi="Times New Roman" w:cs="Times New Roman"/>
          <w:i/>
          <w:sz w:val="24"/>
          <w:szCs w:val="24"/>
        </w:rPr>
        <w:t>1/2004, de 28 de diciembre</w:t>
      </w:r>
      <w:r w:rsidRPr="00E01D72">
        <w:rPr>
          <w:rFonts w:ascii="Times New Roman" w:hAnsi="Times New Roman" w:cs="Times New Roman"/>
          <w:sz w:val="24"/>
          <w:szCs w:val="24"/>
        </w:rPr>
        <w:t xml:space="preserve">, </w:t>
      </w:r>
      <w:r w:rsidRPr="00CC3DEC">
        <w:rPr>
          <w:rFonts w:ascii="Times New Roman" w:hAnsi="Times New Roman" w:cs="Times New Roman"/>
          <w:i/>
          <w:sz w:val="24"/>
          <w:szCs w:val="24"/>
        </w:rPr>
        <w:t>de medidas de protección integral contra la violencia de género,</w:t>
      </w:r>
      <w:r w:rsidRPr="00E01D72">
        <w:rPr>
          <w:rFonts w:ascii="Times New Roman" w:hAnsi="Times New Roman" w:cs="Times New Roman"/>
          <w:sz w:val="24"/>
          <w:szCs w:val="24"/>
        </w:rPr>
        <w:t xml:space="preserve"> se ha visto modif</w:t>
      </w:r>
      <w:r w:rsidR="00DE7BFA">
        <w:rPr>
          <w:rFonts w:ascii="Times New Roman" w:hAnsi="Times New Roman" w:cs="Times New Roman"/>
          <w:sz w:val="24"/>
          <w:szCs w:val="24"/>
        </w:rPr>
        <w:t>icada en su artículo 1 por la</w:t>
      </w:r>
      <w:r w:rsidRPr="00E01D72">
        <w:rPr>
          <w:rFonts w:ascii="Times New Roman" w:hAnsi="Times New Roman" w:cs="Times New Roman"/>
          <w:sz w:val="24"/>
          <w:szCs w:val="24"/>
        </w:rPr>
        <w:t xml:space="preserve"> disposición final décima de la </w:t>
      </w:r>
      <w:r w:rsidRPr="00E01D72">
        <w:rPr>
          <w:rFonts w:ascii="Times New Roman" w:hAnsi="Times New Roman" w:cs="Times New Roman"/>
          <w:i/>
          <w:sz w:val="24"/>
          <w:szCs w:val="24"/>
        </w:rPr>
        <w:t xml:space="preserve">Ley Orgánica </w:t>
      </w:r>
      <w:r w:rsidR="001E25D2" w:rsidRPr="00E01D72">
        <w:rPr>
          <w:rFonts w:ascii="Times New Roman" w:hAnsi="Times New Roman" w:cs="Times New Roman"/>
          <w:i/>
          <w:sz w:val="24"/>
          <w:szCs w:val="24"/>
        </w:rPr>
        <w:t>8/2021, de 4 de junio</w:t>
      </w:r>
      <w:r w:rsidR="001E25D2" w:rsidRPr="00E01D72">
        <w:rPr>
          <w:rFonts w:ascii="Times New Roman" w:hAnsi="Times New Roman" w:cs="Times New Roman"/>
          <w:sz w:val="24"/>
          <w:szCs w:val="24"/>
        </w:rPr>
        <w:t xml:space="preserve">, </w:t>
      </w:r>
      <w:r w:rsidR="001E25D2" w:rsidRPr="00CC3DEC">
        <w:rPr>
          <w:rFonts w:ascii="Times New Roman" w:hAnsi="Times New Roman" w:cs="Times New Roman"/>
          <w:i/>
          <w:sz w:val="24"/>
          <w:szCs w:val="24"/>
        </w:rPr>
        <w:t>de protección integral a la infancia y la adolescencia frente a la violencia</w:t>
      </w:r>
      <w:r w:rsidRPr="00E01D72">
        <w:rPr>
          <w:rFonts w:ascii="Times New Roman" w:hAnsi="Times New Roman" w:cs="Times New Roman"/>
          <w:sz w:val="24"/>
          <w:szCs w:val="24"/>
        </w:rPr>
        <w:t>, para incluir la violencia vicaria en el objeto de la Ley: “La violencia de género a que se refiere esta Ley también comprende la violencia que con el objetivo de causar perjuicio o daño a las mujeres se ejerza sobre sus familiares o allegados menores de edad por parte de las personas indicadas en el apartado primero”.</w:t>
      </w:r>
    </w:p>
    <w:p w14:paraId="374B48C0" w14:textId="77777777" w:rsidR="008A0B09" w:rsidRPr="00E01D72" w:rsidRDefault="00E72451" w:rsidP="00E01D72">
      <w:pPr>
        <w:spacing w:before="60" w:after="60" w:line="276" w:lineRule="auto"/>
        <w:jc w:val="both"/>
        <w:rPr>
          <w:rFonts w:ascii="Times New Roman" w:hAnsi="Times New Roman" w:cs="Times New Roman"/>
          <w:sz w:val="24"/>
          <w:szCs w:val="24"/>
        </w:rPr>
      </w:pPr>
      <w:r w:rsidRPr="00E01D72">
        <w:rPr>
          <w:rFonts w:ascii="Times New Roman" w:hAnsi="Times New Roman" w:cs="Times New Roman"/>
          <w:sz w:val="24"/>
          <w:szCs w:val="24"/>
        </w:rPr>
        <w:t xml:space="preserve">Además, la </w:t>
      </w:r>
      <w:r w:rsidRPr="00E01D72">
        <w:rPr>
          <w:rFonts w:ascii="Times New Roman" w:hAnsi="Times New Roman" w:cs="Times New Roman"/>
          <w:i/>
          <w:sz w:val="24"/>
          <w:szCs w:val="24"/>
        </w:rPr>
        <w:t xml:space="preserve">Ley Orgánica 1/2004, de 28 de diciembre, </w:t>
      </w:r>
      <w:r w:rsidRPr="00E01D72">
        <w:rPr>
          <w:rFonts w:ascii="Times New Roman" w:hAnsi="Times New Roman" w:cs="Times New Roman"/>
          <w:sz w:val="24"/>
          <w:szCs w:val="24"/>
        </w:rPr>
        <w:t>se ha visto reformada por la disposición final 9 de la</w:t>
      </w:r>
      <w:r w:rsidRPr="00E01D72">
        <w:rPr>
          <w:rFonts w:ascii="Times New Roman" w:hAnsi="Times New Roman" w:cs="Times New Roman"/>
          <w:i/>
          <w:sz w:val="24"/>
          <w:szCs w:val="24"/>
        </w:rPr>
        <w:t xml:space="preserve"> Ley Orgánica 10/2022, de 6 de septiembre, </w:t>
      </w:r>
      <w:r w:rsidRPr="00CC3DEC">
        <w:rPr>
          <w:rFonts w:ascii="Times New Roman" w:hAnsi="Times New Roman" w:cs="Times New Roman"/>
          <w:i/>
          <w:sz w:val="24"/>
          <w:szCs w:val="24"/>
        </w:rPr>
        <w:t>de garantía integral de la libertad sexual</w:t>
      </w:r>
      <w:r w:rsidRPr="00E01D72">
        <w:rPr>
          <w:rFonts w:ascii="Times New Roman" w:hAnsi="Times New Roman" w:cs="Times New Roman"/>
          <w:sz w:val="24"/>
          <w:szCs w:val="24"/>
        </w:rPr>
        <w:t xml:space="preserve">, dando cumplimiento a las medidas incluidas en el Pacto de Estado contra </w:t>
      </w:r>
      <w:r w:rsidR="00B45E90" w:rsidRPr="00E01D72">
        <w:rPr>
          <w:rFonts w:ascii="Times New Roman" w:hAnsi="Times New Roman" w:cs="Times New Roman"/>
          <w:sz w:val="24"/>
          <w:szCs w:val="24"/>
        </w:rPr>
        <w:t xml:space="preserve">la Violencia de Género. </w:t>
      </w:r>
    </w:p>
    <w:p w14:paraId="5E32B5AE" w14:textId="77777777" w:rsidR="008A0B09" w:rsidRPr="00E01D72" w:rsidRDefault="008A0B09" w:rsidP="00E01D72">
      <w:pPr>
        <w:spacing w:before="60" w:after="60" w:line="276" w:lineRule="auto"/>
        <w:jc w:val="both"/>
        <w:rPr>
          <w:rFonts w:ascii="Times New Roman" w:hAnsi="Times New Roman" w:cs="Times New Roman"/>
          <w:sz w:val="24"/>
          <w:szCs w:val="24"/>
        </w:rPr>
      </w:pPr>
    </w:p>
    <w:p w14:paraId="5A70BC6F" w14:textId="77777777" w:rsidR="008A0B09" w:rsidRPr="00E01D72" w:rsidRDefault="00CF3ACF" w:rsidP="00E01D72">
      <w:pPr>
        <w:spacing w:before="60" w:after="60" w:line="276" w:lineRule="auto"/>
        <w:ind w:firstLine="708"/>
        <w:jc w:val="both"/>
        <w:rPr>
          <w:rFonts w:ascii="Times New Roman" w:hAnsi="Times New Roman" w:cs="Times New Roman"/>
          <w:sz w:val="24"/>
          <w:szCs w:val="24"/>
        </w:rPr>
      </w:pPr>
      <w:r w:rsidRPr="00E01D72">
        <w:rPr>
          <w:rFonts w:ascii="Times New Roman" w:hAnsi="Times New Roman" w:cs="Times New Roman"/>
          <w:sz w:val="24"/>
          <w:szCs w:val="24"/>
        </w:rPr>
        <w:t>La</w:t>
      </w:r>
      <w:r w:rsidRPr="00E01D72">
        <w:rPr>
          <w:rFonts w:ascii="Times New Roman" w:hAnsi="Times New Roman" w:cs="Times New Roman"/>
          <w:i/>
          <w:sz w:val="24"/>
          <w:szCs w:val="24"/>
        </w:rPr>
        <w:t xml:space="preserve"> </w:t>
      </w:r>
      <w:r w:rsidR="001E25D2" w:rsidRPr="00E01D72">
        <w:rPr>
          <w:rFonts w:ascii="Times New Roman" w:hAnsi="Times New Roman" w:cs="Times New Roman"/>
          <w:i/>
          <w:sz w:val="24"/>
          <w:szCs w:val="24"/>
        </w:rPr>
        <w:t>Ley Orgánica 10/2022, de 6 de septiembre, de garantía integral de la libertad sexual</w:t>
      </w:r>
      <w:r w:rsidR="00190ADA" w:rsidRPr="00E01D72">
        <w:rPr>
          <w:rFonts w:ascii="Times New Roman" w:hAnsi="Times New Roman" w:cs="Times New Roman"/>
          <w:sz w:val="24"/>
          <w:szCs w:val="24"/>
        </w:rPr>
        <w:t>,</w:t>
      </w:r>
      <w:r w:rsidR="001E25D2" w:rsidRPr="00E01D72">
        <w:rPr>
          <w:rFonts w:ascii="Times New Roman" w:hAnsi="Times New Roman" w:cs="Times New Roman"/>
          <w:sz w:val="24"/>
          <w:szCs w:val="24"/>
        </w:rPr>
        <w:t xml:space="preserve"> amplía el concepto de “violencia de género” a todas las violencias contempladas en el Convenio de Estambul. Esta ley orgánica atribuye el carácter de servicios esenciales a todos los servicios de asistencia </w:t>
      </w:r>
      <w:r w:rsidR="00190ADA" w:rsidRPr="00E01D72">
        <w:rPr>
          <w:rFonts w:ascii="Times New Roman" w:hAnsi="Times New Roman" w:cs="Times New Roman"/>
          <w:sz w:val="24"/>
          <w:szCs w:val="24"/>
        </w:rPr>
        <w:t>(</w:t>
      </w:r>
      <w:r w:rsidR="001E25D2" w:rsidRPr="00E01D72">
        <w:rPr>
          <w:rFonts w:ascii="Times New Roman" w:hAnsi="Times New Roman" w:cs="Times New Roman"/>
          <w:sz w:val="24"/>
          <w:szCs w:val="24"/>
        </w:rPr>
        <w:t xml:space="preserve">información y orientación, atención psicosocial inmediata, telefónica y en línea, asesoramiento jurídico 24h, servicios de acogida y asistencia social integral, </w:t>
      </w:r>
      <w:r w:rsidR="00DF6D44" w:rsidRPr="00E01D72">
        <w:rPr>
          <w:rFonts w:ascii="Times New Roman" w:hAnsi="Times New Roman" w:cs="Times New Roman"/>
          <w:sz w:val="24"/>
          <w:szCs w:val="24"/>
        </w:rPr>
        <w:t>atención</w:t>
      </w:r>
      <w:r w:rsidR="001E25D2" w:rsidRPr="00E01D72">
        <w:rPr>
          <w:rFonts w:ascii="Times New Roman" w:hAnsi="Times New Roman" w:cs="Times New Roman"/>
          <w:sz w:val="24"/>
          <w:szCs w:val="24"/>
        </w:rPr>
        <w:t xml:space="preserve"> psicológica y social destinada a las víctimas</w:t>
      </w:r>
      <w:r w:rsidR="00DF6D44" w:rsidRPr="00E01D72">
        <w:rPr>
          <w:rFonts w:ascii="Times New Roman" w:hAnsi="Times New Roman" w:cs="Times New Roman"/>
          <w:sz w:val="24"/>
          <w:szCs w:val="24"/>
        </w:rPr>
        <w:t xml:space="preserve"> y</w:t>
      </w:r>
      <w:r w:rsidR="001E25D2" w:rsidRPr="00E01D72">
        <w:rPr>
          <w:rFonts w:ascii="Times New Roman" w:hAnsi="Times New Roman" w:cs="Times New Roman"/>
          <w:sz w:val="24"/>
          <w:szCs w:val="24"/>
        </w:rPr>
        <w:t xml:space="preserve"> </w:t>
      </w:r>
      <w:r w:rsidR="00190ADA" w:rsidRPr="00E01D72">
        <w:rPr>
          <w:rFonts w:ascii="Times New Roman" w:hAnsi="Times New Roman" w:cs="Times New Roman"/>
          <w:sz w:val="24"/>
          <w:szCs w:val="24"/>
        </w:rPr>
        <w:t xml:space="preserve">centros de crisis 24h) </w:t>
      </w:r>
      <w:r w:rsidR="001E25D2" w:rsidRPr="00E01D72">
        <w:rPr>
          <w:rFonts w:ascii="Times New Roman" w:hAnsi="Times New Roman" w:cs="Times New Roman"/>
          <w:sz w:val="24"/>
          <w:szCs w:val="24"/>
        </w:rPr>
        <w:t xml:space="preserve">como ya hiciera el </w:t>
      </w:r>
      <w:r w:rsidR="001E25D2" w:rsidRPr="00E01D72">
        <w:rPr>
          <w:rFonts w:ascii="Times New Roman" w:hAnsi="Times New Roman" w:cs="Times New Roman"/>
          <w:i/>
          <w:sz w:val="24"/>
          <w:szCs w:val="24"/>
        </w:rPr>
        <w:t xml:space="preserve">Real Decreto-ley 12/2020, de 31 de marzo, </w:t>
      </w:r>
      <w:r w:rsidR="001E25D2" w:rsidRPr="00E01D72">
        <w:rPr>
          <w:rFonts w:ascii="Times New Roman" w:hAnsi="Times New Roman" w:cs="Times New Roman"/>
          <w:sz w:val="24"/>
          <w:szCs w:val="24"/>
        </w:rPr>
        <w:t xml:space="preserve">de medidas urgentes en materia de protección y asistencia a las víctimas de violencia de género.   </w:t>
      </w:r>
    </w:p>
    <w:p w14:paraId="31F9E191" w14:textId="77777777" w:rsidR="008A0B09" w:rsidRPr="00E01D72" w:rsidRDefault="008A0B09" w:rsidP="00E01D72">
      <w:pPr>
        <w:spacing w:before="60" w:after="60" w:line="276" w:lineRule="auto"/>
        <w:ind w:firstLine="708"/>
        <w:jc w:val="both"/>
        <w:rPr>
          <w:rFonts w:ascii="Times New Roman" w:hAnsi="Times New Roman" w:cs="Times New Roman"/>
          <w:i/>
          <w:sz w:val="24"/>
          <w:szCs w:val="24"/>
        </w:rPr>
      </w:pPr>
    </w:p>
    <w:p w14:paraId="5A4F3916" w14:textId="77777777" w:rsidR="008A0B09" w:rsidRPr="00E01D72" w:rsidRDefault="00FE1B99" w:rsidP="00E01D72">
      <w:pPr>
        <w:pStyle w:val="ListParagraph"/>
        <w:spacing w:before="60" w:after="60" w:line="276" w:lineRule="auto"/>
        <w:ind w:left="0" w:firstLine="708"/>
        <w:contextualSpacing w:val="0"/>
        <w:rPr>
          <w:sz w:val="24"/>
          <w:szCs w:val="24"/>
        </w:rPr>
      </w:pPr>
      <w:r w:rsidRPr="00E01D72">
        <w:rPr>
          <w:sz w:val="24"/>
          <w:szCs w:val="24"/>
        </w:rPr>
        <w:t xml:space="preserve">La </w:t>
      </w:r>
      <w:r w:rsidRPr="00E01D72">
        <w:rPr>
          <w:i/>
          <w:sz w:val="24"/>
          <w:szCs w:val="24"/>
        </w:rPr>
        <w:t>Ley Orgánica 10/2022, de 6 de septiembre</w:t>
      </w:r>
      <w:r w:rsidR="001E25D2" w:rsidRPr="00E01D72">
        <w:rPr>
          <w:sz w:val="24"/>
          <w:szCs w:val="24"/>
        </w:rPr>
        <w:t xml:space="preserve">, </w:t>
      </w:r>
      <w:r w:rsidRPr="00E01D72">
        <w:rPr>
          <w:sz w:val="24"/>
          <w:szCs w:val="24"/>
        </w:rPr>
        <w:t xml:space="preserve">también </w:t>
      </w:r>
      <w:r w:rsidR="008925F6" w:rsidRPr="00E01D72">
        <w:rPr>
          <w:sz w:val="24"/>
          <w:szCs w:val="24"/>
        </w:rPr>
        <w:t>m</w:t>
      </w:r>
      <w:r w:rsidR="001E25D2" w:rsidRPr="00E01D72">
        <w:rPr>
          <w:sz w:val="24"/>
          <w:szCs w:val="24"/>
        </w:rPr>
        <w:t>odifica</w:t>
      </w:r>
      <w:r w:rsidR="00B255AE" w:rsidRPr="00E01D72">
        <w:rPr>
          <w:sz w:val="24"/>
          <w:szCs w:val="24"/>
        </w:rPr>
        <w:t>:</w:t>
      </w:r>
      <w:r w:rsidR="001E25D2" w:rsidRPr="00E01D72">
        <w:rPr>
          <w:sz w:val="24"/>
          <w:szCs w:val="24"/>
        </w:rPr>
        <w:t xml:space="preserve"> la </w:t>
      </w:r>
      <w:r w:rsidR="001E25D2" w:rsidRPr="00E01D72">
        <w:rPr>
          <w:i/>
          <w:sz w:val="24"/>
          <w:szCs w:val="24"/>
        </w:rPr>
        <w:t xml:space="preserve">Ley Orgánica 10/1995, de 23 de noviembre, </w:t>
      </w:r>
      <w:r w:rsidR="001E25D2" w:rsidRPr="004535DC">
        <w:rPr>
          <w:i/>
          <w:sz w:val="24"/>
          <w:szCs w:val="24"/>
        </w:rPr>
        <w:t>del Código Penal</w:t>
      </w:r>
      <w:r w:rsidR="001E25D2" w:rsidRPr="00E01D72">
        <w:rPr>
          <w:sz w:val="24"/>
          <w:szCs w:val="24"/>
        </w:rPr>
        <w:t>, elimina</w:t>
      </w:r>
      <w:r w:rsidR="008925F6" w:rsidRPr="00E01D72">
        <w:rPr>
          <w:sz w:val="24"/>
          <w:szCs w:val="24"/>
        </w:rPr>
        <w:t>ndo</w:t>
      </w:r>
      <w:r w:rsidR="001E25D2" w:rsidRPr="00E01D72">
        <w:rPr>
          <w:sz w:val="24"/>
          <w:szCs w:val="24"/>
        </w:rPr>
        <w:t xml:space="preserve"> la distinción entre agresión sexual y abuso sexual</w:t>
      </w:r>
      <w:r w:rsidR="00B255AE" w:rsidRPr="00E01D72">
        <w:rPr>
          <w:sz w:val="24"/>
          <w:szCs w:val="24"/>
        </w:rPr>
        <w:t>;</w:t>
      </w:r>
      <w:r w:rsidR="001E25D2" w:rsidRPr="00E01D72">
        <w:rPr>
          <w:sz w:val="24"/>
          <w:szCs w:val="24"/>
        </w:rPr>
        <w:t xml:space="preserve"> la </w:t>
      </w:r>
      <w:r w:rsidR="001E25D2" w:rsidRPr="00E01D72">
        <w:rPr>
          <w:i/>
          <w:sz w:val="24"/>
          <w:szCs w:val="24"/>
        </w:rPr>
        <w:t xml:space="preserve">Ley </w:t>
      </w:r>
      <w:r w:rsidR="008925F6" w:rsidRPr="004535DC">
        <w:rPr>
          <w:i/>
          <w:sz w:val="24"/>
          <w:szCs w:val="24"/>
        </w:rPr>
        <w:t>Orgánica</w:t>
      </w:r>
      <w:r w:rsidR="008925F6" w:rsidRPr="00E01D72">
        <w:rPr>
          <w:sz w:val="24"/>
          <w:szCs w:val="24"/>
        </w:rPr>
        <w:t xml:space="preserve"> </w:t>
      </w:r>
      <w:r w:rsidR="001E25D2" w:rsidRPr="00E01D72">
        <w:rPr>
          <w:i/>
          <w:sz w:val="24"/>
          <w:szCs w:val="24"/>
        </w:rPr>
        <w:t>35/1995, de 11 de diciembre</w:t>
      </w:r>
      <w:r w:rsidR="001E25D2" w:rsidRPr="004535DC">
        <w:rPr>
          <w:i/>
          <w:sz w:val="24"/>
          <w:szCs w:val="24"/>
        </w:rPr>
        <w:t>, de ayudas y asistencia a las víctimas de delitos violentos y contra la libertad sexual,</w:t>
      </w:r>
      <w:r w:rsidR="001E25D2" w:rsidRPr="00E01D72">
        <w:rPr>
          <w:sz w:val="24"/>
          <w:szCs w:val="24"/>
        </w:rPr>
        <w:t xml:space="preserve"> </w:t>
      </w:r>
      <w:r w:rsidR="00B92A36">
        <w:rPr>
          <w:sz w:val="24"/>
          <w:szCs w:val="24"/>
        </w:rPr>
        <w:t>garantizando</w:t>
      </w:r>
      <w:r w:rsidR="001E25D2" w:rsidRPr="00E01D72">
        <w:rPr>
          <w:sz w:val="24"/>
          <w:szCs w:val="24"/>
        </w:rPr>
        <w:t xml:space="preserve"> la protección de las víctimas de violencias sexuales</w:t>
      </w:r>
      <w:r w:rsidR="00B255AE" w:rsidRPr="00E01D72">
        <w:rPr>
          <w:sz w:val="24"/>
          <w:szCs w:val="24"/>
        </w:rPr>
        <w:t>;</w:t>
      </w:r>
      <w:r w:rsidR="008925F6" w:rsidRPr="00E01D72">
        <w:rPr>
          <w:sz w:val="24"/>
          <w:szCs w:val="24"/>
        </w:rPr>
        <w:t xml:space="preserve"> la </w:t>
      </w:r>
      <w:r w:rsidR="001E25D2" w:rsidRPr="00E01D72">
        <w:rPr>
          <w:i/>
          <w:sz w:val="24"/>
          <w:szCs w:val="24"/>
        </w:rPr>
        <w:t>Ley Orgánica 1/2004, de 28 de diciembre, de Medidas de Protección Integral contra la Violencia de Género</w:t>
      </w:r>
      <w:r w:rsidR="008925F6" w:rsidRPr="00E01D72">
        <w:rPr>
          <w:sz w:val="24"/>
          <w:szCs w:val="24"/>
        </w:rPr>
        <w:t xml:space="preserve">, modificando </w:t>
      </w:r>
      <w:r w:rsidR="001E25D2" w:rsidRPr="00E01D72">
        <w:rPr>
          <w:sz w:val="24"/>
          <w:szCs w:val="24"/>
        </w:rPr>
        <w:t>el artículo 3 para otorgar carácter permanente al Plan Nacional de Sensibilización y Prevención de la Violencia de Género</w:t>
      </w:r>
      <w:r w:rsidR="008925F6" w:rsidRPr="00E01D72">
        <w:rPr>
          <w:sz w:val="24"/>
          <w:szCs w:val="24"/>
        </w:rPr>
        <w:t>,</w:t>
      </w:r>
      <w:r w:rsidR="00DB1B0B">
        <w:rPr>
          <w:sz w:val="24"/>
          <w:szCs w:val="24"/>
        </w:rPr>
        <w:t xml:space="preserve"> el artículo 23 </w:t>
      </w:r>
      <w:r w:rsidR="001E25D2" w:rsidRPr="00E01D72">
        <w:rPr>
          <w:sz w:val="24"/>
          <w:szCs w:val="24"/>
        </w:rPr>
        <w:t xml:space="preserve">con el objetivo de garantizar una protección efectiva a las víctimas de violencia de género, </w:t>
      </w:r>
      <w:r w:rsidR="001E25D2" w:rsidRPr="00E01D72">
        <w:rPr>
          <w:sz w:val="24"/>
          <w:szCs w:val="24"/>
        </w:rPr>
        <w:lastRenderedPageBreak/>
        <w:t>independientemente de si han interpuesto denuncia o no</w:t>
      </w:r>
      <w:r w:rsidR="008925F6" w:rsidRPr="00E01D72">
        <w:rPr>
          <w:sz w:val="24"/>
          <w:szCs w:val="24"/>
        </w:rPr>
        <w:t>, e introduciendo</w:t>
      </w:r>
      <w:r w:rsidR="001E25D2" w:rsidRPr="00E01D72">
        <w:rPr>
          <w:sz w:val="24"/>
          <w:szCs w:val="24"/>
        </w:rPr>
        <w:t xml:space="preserve"> un nuevo Capítulo V dedicado al derecho a la reparación</w:t>
      </w:r>
      <w:r w:rsidR="00B255AE" w:rsidRPr="00E01D72">
        <w:rPr>
          <w:sz w:val="24"/>
          <w:szCs w:val="24"/>
        </w:rPr>
        <w:t xml:space="preserve">; </w:t>
      </w:r>
      <w:r w:rsidR="001E25D2" w:rsidRPr="00E01D72">
        <w:rPr>
          <w:sz w:val="24"/>
          <w:szCs w:val="24"/>
        </w:rPr>
        <w:t xml:space="preserve">la </w:t>
      </w:r>
      <w:r w:rsidR="001E25D2" w:rsidRPr="00E01D72">
        <w:rPr>
          <w:i/>
          <w:sz w:val="24"/>
          <w:szCs w:val="24"/>
        </w:rPr>
        <w:t>Ley 4/2015, de 27 de abril, del Estatuto de la víctima del delito</w:t>
      </w:r>
      <w:r w:rsidR="001E25D2" w:rsidRPr="00E01D72">
        <w:rPr>
          <w:sz w:val="24"/>
          <w:szCs w:val="24"/>
        </w:rPr>
        <w:t>, para garantizar la protección de las víctimas de violencias sexuales, así como su acceso a los servicios de asistencia y apoyo</w:t>
      </w:r>
      <w:r w:rsidR="00B255AE" w:rsidRPr="00E01D72">
        <w:rPr>
          <w:sz w:val="24"/>
          <w:szCs w:val="24"/>
        </w:rPr>
        <w:t>;</w:t>
      </w:r>
      <w:r w:rsidR="00B55A23" w:rsidRPr="00E01D72">
        <w:rPr>
          <w:sz w:val="24"/>
          <w:szCs w:val="24"/>
        </w:rPr>
        <w:t xml:space="preserve"> y </w:t>
      </w:r>
      <w:r w:rsidR="001E25D2" w:rsidRPr="00E01D72">
        <w:rPr>
          <w:sz w:val="24"/>
          <w:szCs w:val="24"/>
        </w:rPr>
        <w:t xml:space="preserve">la </w:t>
      </w:r>
      <w:r w:rsidR="001E25D2" w:rsidRPr="00E01D72">
        <w:rPr>
          <w:i/>
          <w:sz w:val="24"/>
          <w:szCs w:val="24"/>
        </w:rPr>
        <w:t>Ley Orgánica 14/2015, de 14 de octubre, del Código Penal Militar</w:t>
      </w:r>
      <w:r w:rsidR="001E25D2" w:rsidRPr="00E01D72">
        <w:rPr>
          <w:sz w:val="24"/>
          <w:szCs w:val="24"/>
        </w:rPr>
        <w:t>, tipificando las violencias sexuales y el acoso sexual en este ámbito.</w:t>
      </w:r>
    </w:p>
    <w:p w14:paraId="2C4DF0C9" w14:textId="77777777" w:rsidR="001E25D2" w:rsidRPr="00E01D72" w:rsidRDefault="00C73067" w:rsidP="00E01D72">
      <w:pPr>
        <w:spacing w:before="120" w:after="120" w:line="276" w:lineRule="auto"/>
        <w:ind w:firstLine="708"/>
        <w:jc w:val="both"/>
        <w:rPr>
          <w:rFonts w:ascii="Times New Roman" w:hAnsi="Times New Roman" w:cs="Times New Roman"/>
          <w:sz w:val="24"/>
          <w:szCs w:val="24"/>
        </w:rPr>
      </w:pPr>
      <w:r w:rsidRPr="00E01D72">
        <w:rPr>
          <w:rFonts w:ascii="Times New Roman" w:hAnsi="Times New Roman" w:cs="Times New Roman"/>
          <w:sz w:val="24"/>
          <w:szCs w:val="24"/>
        </w:rPr>
        <w:t>Finalmente, en el</w:t>
      </w:r>
      <w:r w:rsidRPr="00E01D72">
        <w:rPr>
          <w:rFonts w:ascii="Times New Roman" w:hAnsi="Times New Roman" w:cs="Times New Roman"/>
          <w:i/>
          <w:sz w:val="24"/>
          <w:szCs w:val="24"/>
        </w:rPr>
        <w:t xml:space="preserve"> </w:t>
      </w:r>
      <w:r w:rsidR="001E25D2" w:rsidRPr="00E01D72">
        <w:rPr>
          <w:rFonts w:ascii="Times New Roman" w:hAnsi="Times New Roman" w:cs="Times New Roman"/>
          <w:i/>
          <w:sz w:val="24"/>
          <w:szCs w:val="24"/>
        </w:rPr>
        <w:t>Real Decreto 586/2022, de 19 de julio, por el que se modifica el Reglamento de asistencia jurídica gratuita</w:t>
      </w:r>
      <w:r w:rsidR="00800556" w:rsidRPr="00E01D72">
        <w:rPr>
          <w:rStyle w:val="FootnoteReference"/>
          <w:rFonts w:ascii="Times New Roman" w:hAnsi="Times New Roman" w:cs="Times New Roman"/>
          <w:i/>
          <w:sz w:val="24"/>
          <w:szCs w:val="24"/>
        </w:rPr>
        <w:footnoteReference w:id="1"/>
      </w:r>
      <w:r w:rsidR="001E25D2" w:rsidRPr="00E01D72">
        <w:rPr>
          <w:rFonts w:ascii="Times New Roman" w:hAnsi="Times New Roman" w:cs="Times New Roman"/>
          <w:i/>
          <w:sz w:val="24"/>
          <w:szCs w:val="24"/>
        </w:rPr>
        <w:t xml:space="preserve">, </w:t>
      </w:r>
      <w:r w:rsidR="001E25D2" w:rsidRPr="00E01D72">
        <w:rPr>
          <w:rFonts w:ascii="Times New Roman" w:hAnsi="Times New Roman" w:cs="Times New Roman"/>
          <w:sz w:val="24"/>
          <w:szCs w:val="24"/>
        </w:rPr>
        <w:t xml:space="preserve">se establece que los profesionales de la Abogacía y </w:t>
      </w:r>
      <w:r w:rsidR="001E25D2" w:rsidRPr="004617EB">
        <w:rPr>
          <w:rFonts w:ascii="Times New Roman" w:hAnsi="Times New Roman" w:cs="Times New Roman"/>
          <w:sz w:val="24"/>
          <w:szCs w:val="24"/>
        </w:rPr>
        <w:t>de la Procura</w:t>
      </w:r>
      <w:r w:rsidR="001E25D2" w:rsidRPr="00E01D72">
        <w:rPr>
          <w:rFonts w:ascii="Times New Roman" w:hAnsi="Times New Roman" w:cs="Times New Roman"/>
          <w:sz w:val="24"/>
          <w:szCs w:val="24"/>
        </w:rPr>
        <w:t xml:space="preserve"> que presten servicios de asistencia jurídica gratuita a víctimas de violencia de género no pueden contar con antecedentes penales por atentar contra la vida, la integridad física, la libertad, la integridad moral, la libertad e indemnidad sexual o la intimidad en el ámbito de la violencia sobre la mujer. Esta prohibición se extiende a las víctimas de trata de seres humanos.</w:t>
      </w:r>
    </w:p>
    <w:p w14:paraId="451B2929" w14:textId="77777777" w:rsidR="00344CA6" w:rsidRPr="00E01D72" w:rsidRDefault="00344CA6" w:rsidP="00E01D72">
      <w:pPr>
        <w:spacing w:before="120" w:after="120" w:line="276" w:lineRule="auto"/>
        <w:jc w:val="both"/>
        <w:rPr>
          <w:rFonts w:ascii="Times New Roman" w:hAnsi="Times New Roman" w:cs="Times New Roman"/>
          <w:sz w:val="24"/>
          <w:szCs w:val="24"/>
        </w:rPr>
      </w:pPr>
    </w:p>
    <w:p w14:paraId="3E06D114" w14:textId="77777777" w:rsidR="00BF1159" w:rsidRPr="00E01D72" w:rsidRDefault="00CE63DD" w:rsidP="00E01D72">
      <w:pPr>
        <w:spacing w:before="120" w:after="120" w:line="276" w:lineRule="auto"/>
        <w:jc w:val="both"/>
        <w:rPr>
          <w:rFonts w:ascii="Times New Roman" w:hAnsi="Times New Roman" w:cs="Times New Roman"/>
          <w:sz w:val="24"/>
          <w:szCs w:val="24"/>
          <w:u w:val="single"/>
        </w:rPr>
      </w:pPr>
      <w:r w:rsidRPr="00E01D72">
        <w:rPr>
          <w:rFonts w:ascii="Times New Roman" w:hAnsi="Times New Roman" w:cs="Times New Roman"/>
          <w:sz w:val="24"/>
          <w:szCs w:val="24"/>
          <w:u w:val="single"/>
        </w:rPr>
        <w:t>Coordinación entre administraciones e instituciones</w:t>
      </w:r>
    </w:p>
    <w:p w14:paraId="268FB52C" w14:textId="77777777" w:rsidR="00E665BF" w:rsidRPr="00E01D72" w:rsidRDefault="00D24049" w:rsidP="00E01D72">
      <w:pPr>
        <w:spacing w:before="120" w:after="120" w:line="276" w:lineRule="auto"/>
        <w:ind w:firstLine="708"/>
        <w:jc w:val="both"/>
        <w:rPr>
          <w:rFonts w:ascii="Times New Roman" w:hAnsi="Times New Roman" w:cs="Times New Roman"/>
          <w:sz w:val="24"/>
          <w:szCs w:val="24"/>
        </w:rPr>
      </w:pPr>
      <w:r w:rsidRPr="00E01D72">
        <w:rPr>
          <w:rFonts w:ascii="Times New Roman" w:hAnsi="Times New Roman" w:cs="Times New Roman"/>
          <w:sz w:val="24"/>
          <w:szCs w:val="24"/>
        </w:rPr>
        <w:t>Al</w:t>
      </w:r>
      <w:r w:rsidR="001E25D2" w:rsidRPr="00E01D72">
        <w:rPr>
          <w:rFonts w:ascii="Times New Roman" w:hAnsi="Times New Roman" w:cs="Times New Roman"/>
          <w:sz w:val="24"/>
          <w:szCs w:val="24"/>
        </w:rPr>
        <w:t xml:space="preserve"> objeto de dotar de coherencia el marco competencial existente en la materia, España cuenta con distintos protocolos y planes para favorecer la coordinación entre administraciones e instituciones, destacando además las funciones desarrolladas a nivel territorial de las Unidades de Coordinación y de Violencia sobre la mujer en las Delegaciones y Subdelegaciones del Gobierno y las Comunidades Autónomas y las Provincias, para reforzar la cooperación interinstitucional. </w:t>
      </w:r>
    </w:p>
    <w:p w14:paraId="722628B5" w14:textId="77777777" w:rsidR="001E25D2" w:rsidRPr="00E01D72" w:rsidRDefault="001E25D2" w:rsidP="00E01D72">
      <w:pPr>
        <w:spacing w:before="120" w:after="120" w:line="276" w:lineRule="auto"/>
        <w:ind w:firstLine="708"/>
        <w:jc w:val="both"/>
        <w:rPr>
          <w:rFonts w:ascii="Times New Roman" w:hAnsi="Times New Roman" w:cs="Times New Roman"/>
          <w:sz w:val="24"/>
          <w:szCs w:val="24"/>
        </w:rPr>
      </w:pPr>
      <w:r w:rsidRPr="00E01D72">
        <w:rPr>
          <w:rFonts w:ascii="Times New Roman" w:hAnsi="Times New Roman" w:cs="Times New Roman"/>
          <w:sz w:val="24"/>
          <w:szCs w:val="24"/>
        </w:rPr>
        <w:t>Desde 2019 destacan los siguientes planes y estrategias:</w:t>
      </w:r>
      <w:r w:rsidR="00E665BF" w:rsidRPr="00E01D72">
        <w:rPr>
          <w:rFonts w:ascii="Times New Roman" w:hAnsi="Times New Roman" w:cs="Times New Roman"/>
          <w:sz w:val="24"/>
          <w:szCs w:val="24"/>
        </w:rPr>
        <w:t xml:space="preserve"> el </w:t>
      </w:r>
      <w:r w:rsidRPr="00E01D72">
        <w:rPr>
          <w:rFonts w:ascii="Times New Roman" w:hAnsi="Times New Roman" w:cs="Times New Roman"/>
          <w:i/>
          <w:sz w:val="24"/>
          <w:szCs w:val="24"/>
        </w:rPr>
        <w:t>III Plan para la Igualdad de Género en la Administración General del Estado</w:t>
      </w:r>
      <w:r w:rsidR="00E665BF" w:rsidRPr="00E01D72">
        <w:rPr>
          <w:rFonts w:ascii="Times New Roman" w:hAnsi="Times New Roman" w:cs="Times New Roman"/>
          <w:sz w:val="24"/>
          <w:szCs w:val="24"/>
        </w:rPr>
        <w:t xml:space="preserve"> que</w:t>
      </w:r>
      <w:r w:rsidRPr="00E01D72">
        <w:rPr>
          <w:rFonts w:ascii="Times New Roman" w:hAnsi="Times New Roman" w:cs="Times New Roman"/>
          <w:sz w:val="24"/>
          <w:szCs w:val="24"/>
        </w:rPr>
        <w:t xml:space="preserve"> incluye un eje 5</w:t>
      </w:r>
      <w:r w:rsidR="00E665BF" w:rsidRPr="00E01D72">
        <w:rPr>
          <w:rFonts w:ascii="Times New Roman" w:hAnsi="Times New Roman" w:cs="Times New Roman"/>
          <w:sz w:val="24"/>
          <w:szCs w:val="24"/>
        </w:rPr>
        <w:t xml:space="preserve"> dedicado a violencia de género; el </w:t>
      </w:r>
      <w:r w:rsidRPr="00E01D72">
        <w:rPr>
          <w:rFonts w:ascii="Times New Roman" w:hAnsi="Times New Roman" w:cs="Times New Roman"/>
          <w:i/>
          <w:sz w:val="24"/>
          <w:szCs w:val="24"/>
        </w:rPr>
        <w:t>Plan de Mejora y Modernización de las Actuaciones contra la Violencia de Género</w:t>
      </w:r>
      <w:r w:rsidR="00E665BF" w:rsidRPr="00E01D72">
        <w:rPr>
          <w:rFonts w:ascii="Times New Roman" w:hAnsi="Times New Roman" w:cs="Times New Roman"/>
          <w:sz w:val="24"/>
          <w:szCs w:val="24"/>
        </w:rPr>
        <w:t xml:space="preserve">, </w:t>
      </w:r>
      <w:r w:rsidRPr="00E01D72">
        <w:rPr>
          <w:rFonts w:ascii="Times New Roman" w:hAnsi="Times New Roman" w:cs="Times New Roman"/>
          <w:sz w:val="24"/>
          <w:szCs w:val="24"/>
        </w:rPr>
        <w:t xml:space="preserve">en </w:t>
      </w:r>
      <w:r w:rsidR="00E665BF" w:rsidRPr="00E01D72">
        <w:rPr>
          <w:rFonts w:ascii="Times New Roman" w:hAnsi="Times New Roman" w:cs="Times New Roman"/>
          <w:sz w:val="24"/>
          <w:szCs w:val="24"/>
        </w:rPr>
        <w:t>cuyo</w:t>
      </w:r>
      <w:r w:rsidRPr="00E01D72">
        <w:rPr>
          <w:rFonts w:ascii="Times New Roman" w:hAnsi="Times New Roman" w:cs="Times New Roman"/>
          <w:sz w:val="24"/>
          <w:szCs w:val="24"/>
        </w:rPr>
        <w:t xml:space="preserve"> marco se aprobó, </w:t>
      </w:r>
      <w:r w:rsidR="00E665BF" w:rsidRPr="00E01D72">
        <w:rPr>
          <w:rFonts w:ascii="Times New Roman" w:hAnsi="Times New Roman" w:cs="Times New Roman"/>
          <w:sz w:val="24"/>
          <w:szCs w:val="24"/>
        </w:rPr>
        <w:t>en</w:t>
      </w:r>
      <w:r w:rsidRPr="00E01D72">
        <w:rPr>
          <w:rFonts w:ascii="Times New Roman" w:hAnsi="Times New Roman" w:cs="Times New Roman"/>
          <w:sz w:val="24"/>
          <w:szCs w:val="24"/>
        </w:rPr>
        <w:t xml:space="preserve"> julio de 2021, el </w:t>
      </w:r>
      <w:r w:rsidRPr="00E01D72">
        <w:rPr>
          <w:rFonts w:ascii="Times New Roman" w:hAnsi="Times New Roman" w:cs="Times New Roman"/>
          <w:i/>
          <w:sz w:val="24"/>
          <w:szCs w:val="24"/>
        </w:rPr>
        <w:t>Catálogo de Medidas Urgentes del Plan de Mejora y Modernización contra la Violencia de Género</w:t>
      </w:r>
      <w:r w:rsidR="00563543" w:rsidRPr="00E01D72">
        <w:rPr>
          <w:rStyle w:val="FootnoteReference"/>
          <w:rFonts w:ascii="Times New Roman" w:hAnsi="Times New Roman" w:cs="Times New Roman"/>
          <w:i/>
          <w:sz w:val="24"/>
          <w:szCs w:val="24"/>
        </w:rPr>
        <w:footnoteReference w:id="2"/>
      </w:r>
      <w:r w:rsidR="00E665BF" w:rsidRPr="00E01D72">
        <w:rPr>
          <w:rFonts w:ascii="Times New Roman" w:hAnsi="Times New Roman" w:cs="Times New Roman"/>
          <w:i/>
          <w:sz w:val="24"/>
          <w:szCs w:val="24"/>
        </w:rPr>
        <w:t xml:space="preserve">; el </w:t>
      </w:r>
      <w:r w:rsidRPr="00E01D72">
        <w:rPr>
          <w:rFonts w:ascii="Times New Roman" w:hAnsi="Times New Roman" w:cs="Times New Roman"/>
          <w:i/>
          <w:sz w:val="24"/>
          <w:szCs w:val="24"/>
        </w:rPr>
        <w:t>Protocolo de actuación en la Farmacia Comunitaria ante la violencia de género</w:t>
      </w:r>
      <w:r w:rsidR="00E665BF" w:rsidRPr="00E01D72">
        <w:rPr>
          <w:rFonts w:ascii="Times New Roman" w:hAnsi="Times New Roman" w:cs="Times New Roman"/>
          <w:sz w:val="24"/>
          <w:szCs w:val="24"/>
        </w:rPr>
        <w:t xml:space="preserve"> de 2021, </w:t>
      </w:r>
      <w:r w:rsidRPr="00E01D72">
        <w:rPr>
          <w:rFonts w:ascii="Times New Roman" w:hAnsi="Times New Roman" w:cs="Times New Roman"/>
          <w:sz w:val="24"/>
          <w:szCs w:val="24"/>
        </w:rPr>
        <w:t xml:space="preserve">herramienta </w:t>
      </w:r>
      <w:r w:rsidR="00E665BF" w:rsidRPr="00E01D72">
        <w:rPr>
          <w:rFonts w:ascii="Times New Roman" w:hAnsi="Times New Roman" w:cs="Times New Roman"/>
          <w:sz w:val="24"/>
          <w:szCs w:val="24"/>
        </w:rPr>
        <w:t>que guía</w:t>
      </w:r>
      <w:r w:rsidRPr="00E01D72">
        <w:rPr>
          <w:rFonts w:ascii="Times New Roman" w:hAnsi="Times New Roman" w:cs="Times New Roman"/>
          <w:sz w:val="24"/>
          <w:szCs w:val="24"/>
        </w:rPr>
        <w:t xml:space="preserve"> los pasos de farmacéuticos y farmacéuticas ante una si</w:t>
      </w:r>
      <w:r w:rsidR="00E665BF" w:rsidRPr="00E01D72">
        <w:rPr>
          <w:rFonts w:ascii="Times New Roman" w:hAnsi="Times New Roman" w:cs="Times New Roman"/>
          <w:sz w:val="24"/>
          <w:szCs w:val="24"/>
        </w:rPr>
        <w:t xml:space="preserve">tuación de violencia de género y facilita </w:t>
      </w:r>
      <w:r w:rsidRPr="00E01D72">
        <w:rPr>
          <w:rFonts w:ascii="Times New Roman" w:hAnsi="Times New Roman" w:cs="Times New Roman"/>
          <w:sz w:val="24"/>
          <w:szCs w:val="24"/>
        </w:rPr>
        <w:t>la información necesaria a las mujeres que acuden a una farmacia y requieran de atención integral por parte de recu</w:t>
      </w:r>
      <w:r w:rsidR="00E665BF" w:rsidRPr="00E01D72">
        <w:rPr>
          <w:rFonts w:ascii="Times New Roman" w:hAnsi="Times New Roman" w:cs="Times New Roman"/>
          <w:sz w:val="24"/>
          <w:szCs w:val="24"/>
        </w:rPr>
        <w:t xml:space="preserve">rsos especializados; el </w:t>
      </w:r>
      <w:r w:rsidRPr="00E01D72">
        <w:rPr>
          <w:rFonts w:ascii="Times New Roman" w:hAnsi="Times New Roman" w:cs="Times New Roman"/>
          <w:i/>
          <w:sz w:val="24"/>
          <w:szCs w:val="24"/>
        </w:rPr>
        <w:t>Plan Estratégico para la Igualdad Efectiva de Mujeres y Hombres 2022-2025</w:t>
      </w:r>
      <w:r w:rsidR="00E665BF" w:rsidRPr="00E01D72">
        <w:rPr>
          <w:rFonts w:ascii="Times New Roman" w:hAnsi="Times New Roman" w:cs="Times New Roman"/>
          <w:sz w:val="24"/>
          <w:szCs w:val="24"/>
        </w:rPr>
        <w:t xml:space="preserve"> que en </w:t>
      </w:r>
      <w:r w:rsidRPr="00E01D72">
        <w:rPr>
          <w:rFonts w:ascii="Times New Roman" w:hAnsi="Times New Roman" w:cs="Times New Roman"/>
          <w:sz w:val="24"/>
          <w:szCs w:val="24"/>
        </w:rPr>
        <w:t>su tercer eje de actuación tiene como objetivo estratégico la erradicación de todas la</w:t>
      </w:r>
      <w:r w:rsidR="00E665BF" w:rsidRPr="00E01D72">
        <w:rPr>
          <w:rFonts w:ascii="Times New Roman" w:hAnsi="Times New Roman" w:cs="Times New Roman"/>
          <w:sz w:val="24"/>
          <w:szCs w:val="24"/>
        </w:rPr>
        <w:t xml:space="preserve">s formas de violencia machista; la </w:t>
      </w:r>
      <w:r w:rsidRPr="00E01D72">
        <w:rPr>
          <w:rFonts w:ascii="Times New Roman" w:hAnsi="Times New Roman" w:cs="Times New Roman"/>
          <w:i/>
          <w:sz w:val="24"/>
          <w:szCs w:val="24"/>
        </w:rPr>
        <w:t>Estrategia Estatal para combatir las Violencias Machistas 2022-2025</w:t>
      </w:r>
      <w:r w:rsidR="00E665BF" w:rsidRPr="00E01D72">
        <w:rPr>
          <w:rFonts w:ascii="Times New Roman" w:hAnsi="Times New Roman" w:cs="Times New Roman"/>
          <w:sz w:val="24"/>
          <w:szCs w:val="24"/>
        </w:rPr>
        <w:t xml:space="preserve"> que </w:t>
      </w:r>
      <w:r w:rsidRPr="00E01D72">
        <w:rPr>
          <w:rFonts w:ascii="Times New Roman" w:hAnsi="Times New Roman" w:cs="Times New Roman"/>
          <w:sz w:val="24"/>
          <w:szCs w:val="24"/>
        </w:rPr>
        <w:t>constituye un nuevo instrumento de planificación y ordenación de actuaciones en el ámbito de las políticas públicas para contribuir de forma decidida a la prevención, detección, erradicación y reparación de todas las viol</w:t>
      </w:r>
      <w:r w:rsidR="00E665BF" w:rsidRPr="00E01D72">
        <w:rPr>
          <w:rFonts w:ascii="Times New Roman" w:hAnsi="Times New Roman" w:cs="Times New Roman"/>
          <w:sz w:val="24"/>
          <w:szCs w:val="24"/>
        </w:rPr>
        <w:t xml:space="preserve">encias contra todas las mujeres; y el </w:t>
      </w:r>
      <w:r w:rsidRPr="00E01D72">
        <w:rPr>
          <w:rFonts w:ascii="Times New Roman" w:hAnsi="Times New Roman" w:cs="Times New Roman"/>
          <w:i/>
          <w:sz w:val="24"/>
          <w:szCs w:val="24"/>
        </w:rPr>
        <w:t>Protocolo de actuación para la atención de las mujeres españolas víctimas de violencia de género en el exterior</w:t>
      </w:r>
      <w:r w:rsidRPr="00E01D72">
        <w:rPr>
          <w:rFonts w:ascii="Times New Roman" w:hAnsi="Times New Roman" w:cs="Times New Roman"/>
          <w:sz w:val="24"/>
          <w:szCs w:val="24"/>
        </w:rPr>
        <w:t>: modificación en estado de tramitación.</w:t>
      </w:r>
    </w:p>
    <w:p w14:paraId="3CF48BC9" w14:textId="77777777" w:rsidR="00772949" w:rsidRPr="00E01D72" w:rsidRDefault="00772949" w:rsidP="00E01D72">
      <w:pPr>
        <w:spacing w:before="120" w:after="120" w:line="276" w:lineRule="auto"/>
        <w:jc w:val="both"/>
        <w:rPr>
          <w:rFonts w:ascii="Times New Roman" w:hAnsi="Times New Roman" w:cs="Times New Roman"/>
          <w:sz w:val="24"/>
          <w:szCs w:val="24"/>
          <w:u w:val="single"/>
        </w:rPr>
      </w:pPr>
      <w:r w:rsidRPr="00E01D72">
        <w:rPr>
          <w:rFonts w:ascii="Times New Roman" w:hAnsi="Times New Roman" w:cs="Times New Roman"/>
          <w:sz w:val="24"/>
          <w:szCs w:val="24"/>
          <w:u w:val="single"/>
        </w:rPr>
        <w:lastRenderedPageBreak/>
        <w:t>Modificaciones del sistema de atención, protección y asistencia para las víctimas de violencia de género</w:t>
      </w:r>
    </w:p>
    <w:p w14:paraId="0CA36461" w14:textId="77777777" w:rsidR="009D614A" w:rsidRPr="00E01D72" w:rsidRDefault="001E25D2" w:rsidP="00E01D72">
      <w:pPr>
        <w:spacing w:before="120" w:after="120" w:line="276" w:lineRule="auto"/>
        <w:ind w:firstLine="567"/>
        <w:jc w:val="both"/>
        <w:rPr>
          <w:rFonts w:ascii="Times New Roman" w:hAnsi="Times New Roman" w:cs="Times New Roman"/>
          <w:sz w:val="24"/>
          <w:szCs w:val="24"/>
        </w:rPr>
      </w:pPr>
      <w:r w:rsidRPr="00E01D72">
        <w:rPr>
          <w:rFonts w:ascii="Times New Roman" w:hAnsi="Times New Roman" w:cs="Times New Roman"/>
          <w:sz w:val="24"/>
          <w:szCs w:val="24"/>
        </w:rPr>
        <w:t xml:space="preserve">El conjunto de normas, planes y estrategias anteriormente mencionadas instauran un sistema de atención, protección y asistencia para las víctimas de violencia de género que aborda esta problemática de manera transversal desde la prevención y la asistencia integral a las víctimas. </w:t>
      </w:r>
    </w:p>
    <w:p w14:paraId="734EA637" w14:textId="77777777" w:rsidR="001E25D2" w:rsidRPr="00E01D72" w:rsidRDefault="001E25D2" w:rsidP="00E01D72">
      <w:pPr>
        <w:spacing w:before="100" w:beforeAutospacing="1" w:after="100" w:afterAutospacing="1" w:line="276" w:lineRule="auto"/>
        <w:ind w:firstLine="567"/>
        <w:jc w:val="both"/>
        <w:rPr>
          <w:rFonts w:ascii="Times New Roman" w:eastAsia="Times New Roman" w:hAnsi="Times New Roman" w:cs="Times New Roman"/>
          <w:sz w:val="24"/>
          <w:szCs w:val="24"/>
          <w:lang w:eastAsia="es-ES"/>
        </w:rPr>
      </w:pPr>
      <w:r w:rsidRPr="00E01D72">
        <w:rPr>
          <w:rFonts w:ascii="Times New Roman" w:hAnsi="Times New Roman" w:cs="Times New Roman"/>
          <w:sz w:val="24"/>
          <w:szCs w:val="24"/>
        </w:rPr>
        <w:t>Entre las modificaciones introducidas en dicho sistem</w:t>
      </w:r>
      <w:r w:rsidR="00A74D67" w:rsidRPr="00E01D72">
        <w:rPr>
          <w:rFonts w:ascii="Times New Roman" w:hAnsi="Times New Roman" w:cs="Times New Roman"/>
          <w:sz w:val="24"/>
          <w:szCs w:val="24"/>
        </w:rPr>
        <w:t xml:space="preserve">a desde 2019, conviene destacar la </w:t>
      </w:r>
      <w:r w:rsidRPr="00E01D72">
        <w:rPr>
          <w:rFonts w:ascii="Times New Roman" w:hAnsi="Times New Roman" w:cs="Times New Roman"/>
          <w:i/>
          <w:sz w:val="24"/>
          <w:szCs w:val="24"/>
        </w:rPr>
        <w:t>Orden PCM/258/2022, de 1 de abril</w:t>
      </w:r>
      <w:r w:rsidRPr="00E01D72">
        <w:rPr>
          <w:rFonts w:ascii="Times New Roman" w:hAnsi="Times New Roman" w:cs="Times New Roman"/>
          <w:b/>
          <w:i/>
          <w:sz w:val="24"/>
          <w:szCs w:val="24"/>
        </w:rPr>
        <w:t xml:space="preserve">, </w:t>
      </w:r>
      <w:r w:rsidRPr="00E01D72">
        <w:rPr>
          <w:rFonts w:ascii="Times New Roman" w:hAnsi="Times New Roman" w:cs="Times New Roman"/>
          <w:sz w:val="24"/>
          <w:szCs w:val="24"/>
        </w:rPr>
        <w:t>por la que se publica el Acuerdo del Consejo de Ministros de 29 de marzo de 2022, en virtud de la cual se ha adaptado el servicio 016 de información, asesoramiento jurídico y atención psicosocial para todas las formas de violencia contra las mujeres por razón de género. Además, se ha ampliado el servicio para atender en ucraniano.</w:t>
      </w:r>
      <w:r w:rsidR="009D614A" w:rsidRPr="00E01D72">
        <w:rPr>
          <w:rFonts w:ascii="Times New Roman" w:hAnsi="Times New Roman" w:cs="Times New Roman"/>
          <w:sz w:val="24"/>
          <w:szCs w:val="24"/>
        </w:rPr>
        <w:t xml:space="preserve"> En cuanto a asesoramiento jurídico</w:t>
      </w:r>
      <w:r w:rsidR="009D10A9" w:rsidRPr="00E01D72">
        <w:rPr>
          <w:rFonts w:ascii="Times New Roman" w:hAnsi="Times New Roman" w:cs="Times New Roman"/>
          <w:sz w:val="24"/>
          <w:szCs w:val="24"/>
        </w:rPr>
        <w:t xml:space="preserve">, en España, el número de Juzgados Exclusivos dedicados a la Violencia sobre la Mujer ha ascendido de 106 en el año 2019 a 113 en el año 2023, no solo con Juzgados especializados en violencia de género sino también fiscales especializados en este tipo de ilícitos penales. En todo caso, en cada una de las Fiscalías Provinciales existen secciones contra la violencia sobre la mujer, estando todas ellas coordinadas a nivel estatal por la Fiscal de la Sala de Violencia sobre la Mujer, cuya principal función es la homogeneización de criterios en la actuación del Ministerio Fiscal en esta materia. </w:t>
      </w:r>
      <w:r w:rsidR="00E86021" w:rsidRPr="00E01D72">
        <w:rPr>
          <w:rFonts w:ascii="Times New Roman" w:eastAsia="Times New Roman" w:hAnsi="Times New Roman" w:cs="Times New Roman"/>
          <w:sz w:val="24"/>
          <w:szCs w:val="24"/>
          <w:lang w:eastAsia="es-ES"/>
        </w:rPr>
        <w:t>Por otra parte, e</w:t>
      </w:r>
      <w:r w:rsidR="000B5C2B" w:rsidRPr="00E01D72">
        <w:rPr>
          <w:rFonts w:ascii="Times New Roman" w:eastAsia="Times New Roman" w:hAnsi="Times New Roman" w:cs="Times New Roman"/>
          <w:sz w:val="24"/>
          <w:szCs w:val="24"/>
          <w:lang w:eastAsia="es-ES"/>
        </w:rPr>
        <w:t xml:space="preserve">n cuanto al número de policías nacionales, </w:t>
      </w:r>
      <w:r w:rsidR="00E86021" w:rsidRPr="00E01D72">
        <w:rPr>
          <w:rFonts w:ascii="Times New Roman" w:eastAsia="Times New Roman" w:hAnsi="Times New Roman" w:cs="Times New Roman"/>
          <w:sz w:val="24"/>
          <w:szCs w:val="24"/>
          <w:lang w:eastAsia="es-ES"/>
        </w:rPr>
        <w:t xml:space="preserve">actualmente </w:t>
      </w:r>
      <w:r w:rsidR="000B5C2B" w:rsidRPr="00E01D72">
        <w:rPr>
          <w:rFonts w:ascii="Times New Roman" w:eastAsia="Times New Roman" w:hAnsi="Times New Roman" w:cs="Times New Roman"/>
          <w:sz w:val="24"/>
          <w:szCs w:val="24"/>
          <w:lang w:eastAsia="es-ES"/>
        </w:rPr>
        <w:t>hay un total de 35 agentes a nivel central, mientras que a nivel periférico resulta un total de 1.377 agentes. En el ámbito de la Guardia Civil hay un total de 2730 agentes asignados a este fin.</w:t>
      </w:r>
    </w:p>
    <w:p w14:paraId="2B4B890A" w14:textId="77777777" w:rsidR="001E25D2" w:rsidRPr="00E01D72" w:rsidRDefault="001E25D2" w:rsidP="00E01D72">
      <w:pPr>
        <w:spacing w:before="40" w:after="40" w:line="276" w:lineRule="auto"/>
        <w:ind w:firstLine="567"/>
        <w:jc w:val="both"/>
        <w:rPr>
          <w:rFonts w:ascii="Times New Roman" w:hAnsi="Times New Roman" w:cs="Times New Roman"/>
          <w:sz w:val="24"/>
          <w:szCs w:val="24"/>
        </w:rPr>
      </w:pPr>
      <w:r w:rsidRPr="00E01D72">
        <w:rPr>
          <w:rFonts w:ascii="Times New Roman" w:hAnsi="Times New Roman" w:cs="Times New Roman"/>
          <w:sz w:val="24"/>
          <w:szCs w:val="24"/>
        </w:rPr>
        <w:t xml:space="preserve">Desde 2020, con motivo de la pandemia, se puso en marcha el canal de WhatsApp para atender mediante este medio a las mujeres víctimas de violencia en la pareja o expareja que estaban en situación de confinamiento estricto. En 2021 se amplió a todas las formas de violencia contra las mujeres incluidas en el Convenio de Estambul, y a los servicios de información y asesoramiento jurídico se sumó un servicio de atención psicosocial inmediata. En 2022 se amplía la atención a consultas sobre trata de mujeres y niñas con fines de explotación sexual, y se abre </w:t>
      </w:r>
      <w:r w:rsidR="00A74D67" w:rsidRPr="00E01D72">
        <w:rPr>
          <w:rFonts w:ascii="Times New Roman" w:hAnsi="Times New Roman" w:cs="Times New Roman"/>
          <w:sz w:val="24"/>
          <w:szCs w:val="24"/>
        </w:rPr>
        <w:t>como nuevo canal de comunicación el chat disponible en la página web de la DGVG.</w:t>
      </w:r>
    </w:p>
    <w:p w14:paraId="0BD4FE42" w14:textId="77777777" w:rsidR="00A74D67" w:rsidRPr="00E01D72" w:rsidRDefault="00A74D67" w:rsidP="00E01D72">
      <w:pPr>
        <w:spacing w:before="40" w:after="40" w:line="276" w:lineRule="auto"/>
        <w:ind w:firstLine="567"/>
        <w:jc w:val="both"/>
        <w:rPr>
          <w:rFonts w:ascii="Times New Roman" w:hAnsi="Times New Roman" w:cs="Times New Roman"/>
          <w:sz w:val="24"/>
          <w:szCs w:val="24"/>
        </w:rPr>
      </w:pPr>
    </w:p>
    <w:p w14:paraId="052AD13E" w14:textId="77777777" w:rsidR="00B847EB" w:rsidRPr="00E01D72" w:rsidRDefault="001E25D2" w:rsidP="00E01D72">
      <w:pPr>
        <w:spacing w:before="40" w:after="40" w:line="276" w:lineRule="auto"/>
        <w:ind w:firstLine="567"/>
        <w:jc w:val="both"/>
        <w:rPr>
          <w:rFonts w:ascii="Times New Roman" w:hAnsi="Times New Roman" w:cs="Times New Roman"/>
          <w:sz w:val="24"/>
          <w:szCs w:val="24"/>
        </w:rPr>
      </w:pPr>
      <w:r w:rsidRPr="00E01D72">
        <w:rPr>
          <w:rFonts w:ascii="Times New Roman" w:hAnsi="Times New Roman" w:cs="Times New Roman"/>
          <w:sz w:val="24"/>
          <w:szCs w:val="24"/>
        </w:rPr>
        <w:t xml:space="preserve">En el marco del </w:t>
      </w:r>
      <w:r w:rsidR="00A078A5" w:rsidRPr="00E01D72">
        <w:rPr>
          <w:rFonts w:ascii="Times New Roman" w:hAnsi="Times New Roman" w:cs="Times New Roman"/>
          <w:i/>
          <w:sz w:val="24"/>
          <w:szCs w:val="24"/>
        </w:rPr>
        <w:t>Plan España t</w:t>
      </w:r>
      <w:r w:rsidRPr="00E01D72">
        <w:rPr>
          <w:rFonts w:ascii="Times New Roman" w:hAnsi="Times New Roman" w:cs="Times New Roman"/>
          <w:i/>
          <w:sz w:val="24"/>
          <w:szCs w:val="24"/>
        </w:rPr>
        <w:t>e protege contra la Violencia Machista</w:t>
      </w:r>
      <w:r w:rsidRPr="00E01D72">
        <w:rPr>
          <w:rFonts w:ascii="Times New Roman" w:hAnsi="Times New Roman" w:cs="Times New Roman"/>
          <w:sz w:val="24"/>
          <w:szCs w:val="24"/>
        </w:rPr>
        <w:t xml:space="preserve">, financiado con cargo al </w:t>
      </w:r>
      <w:r w:rsidRPr="00E01D72">
        <w:rPr>
          <w:rFonts w:ascii="Times New Roman" w:hAnsi="Times New Roman" w:cs="Times New Roman"/>
          <w:i/>
          <w:sz w:val="24"/>
          <w:szCs w:val="24"/>
        </w:rPr>
        <w:t>Plan de Recuperación, Transformación y Resiliencia</w:t>
      </w:r>
      <w:r w:rsidRPr="00E01D72">
        <w:rPr>
          <w:rFonts w:ascii="Times New Roman" w:hAnsi="Times New Roman" w:cs="Times New Roman"/>
          <w:sz w:val="24"/>
          <w:szCs w:val="24"/>
        </w:rPr>
        <w:t xml:space="preserve"> (PRTR) se prevé la apertura</w:t>
      </w:r>
      <w:r w:rsidR="00A078A5" w:rsidRPr="00E01D72">
        <w:rPr>
          <w:rFonts w:ascii="Times New Roman" w:hAnsi="Times New Roman" w:cs="Times New Roman"/>
          <w:sz w:val="24"/>
          <w:szCs w:val="24"/>
        </w:rPr>
        <w:t>, a finales del tercer trimestre de 2023,</w:t>
      </w:r>
      <w:r w:rsidRPr="00E01D72">
        <w:rPr>
          <w:rFonts w:ascii="Times New Roman" w:hAnsi="Times New Roman" w:cs="Times New Roman"/>
          <w:sz w:val="24"/>
          <w:szCs w:val="24"/>
        </w:rPr>
        <w:t xml:space="preserve"> de 52 centros de atención integral 24h (uno por provincia) para las víctimas de violencia sexual. Estos centros ofrecerán acompañamiento e información telefónica, telemática y presencial, las 24 horas del día todos los días del año. </w:t>
      </w:r>
      <w:r w:rsidR="00A078A5" w:rsidRPr="00E01D72">
        <w:rPr>
          <w:rFonts w:ascii="Times New Roman" w:hAnsi="Times New Roman" w:cs="Times New Roman"/>
          <w:sz w:val="24"/>
          <w:szCs w:val="24"/>
        </w:rPr>
        <w:t>F</w:t>
      </w:r>
      <w:r w:rsidRPr="00E01D72">
        <w:rPr>
          <w:rFonts w:ascii="Times New Roman" w:hAnsi="Times New Roman" w:cs="Times New Roman"/>
          <w:sz w:val="24"/>
          <w:szCs w:val="24"/>
        </w:rPr>
        <w:t xml:space="preserve">acilitarán atención psicológica, jurídica y social para víctimas, familiares y personas del entorno. Además, </w:t>
      </w:r>
      <w:r w:rsidR="00A078A5" w:rsidRPr="00E01D72">
        <w:rPr>
          <w:rFonts w:ascii="Times New Roman" w:hAnsi="Times New Roman" w:cs="Times New Roman"/>
          <w:sz w:val="24"/>
          <w:szCs w:val="24"/>
        </w:rPr>
        <w:t>la entrada en funcionamiento de los</w:t>
      </w:r>
      <w:r w:rsidRPr="00E01D72">
        <w:rPr>
          <w:rFonts w:ascii="Times New Roman" w:hAnsi="Times New Roman" w:cs="Times New Roman"/>
          <w:sz w:val="24"/>
          <w:szCs w:val="24"/>
        </w:rPr>
        <w:t xml:space="preserve"> centro</w:t>
      </w:r>
      <w:r w:rsidR="00A078A5" w:rsidRPr="00E01D72">
        <w:rPr>
          <w:rFonts w:ascii="Times New Roman" w:hAnsi="Times New Roman" w:cs="Times New Roman"/>
          <w:sz w:val="24"/>
          <w:szCs w:val="24"/>
        </w:rPr>
        <w:t>s</w:t>
      </w:r>
      <w:r w:rsidRPr="00E01D72">
        <w:rPr>
          <w:rFonts w:ascii="Times New Roman" w:hAnsi="Times New Roman" w:cs="Times New Roman"/>
          <w:sz w:val="24"/>
          <w:szCs w:val="24"/>
        </w:rPr>
        <w:t xml:space="preserve"> </w:t>
      </w:r>
      <w:r w:rsidR="00A078A5" w:rsidRPr="00E01D72">
        <w:rPr>
          <w:rFonts w:ascii="Times New Roman" w:hAnsi="Times New Roman" w:cs="Times New Roman"/>
          <w:sz w:val="24"/>
          <w:szCs w:val="24"/>
        </w:rPr>
        <w:t>tendrá</w:t>
      </w:r>
      <w:r w:rsidRPr="00E01D72">
        <w:rPr>
          <w:rFonts w:ascii="Times New Roman" w:hAnsi="Times New Roman" w:cs="Times New Roman"/>
          <w:sz w:val="24"/>
          <w:szCs w:val="24"/>
        </w:rPr>
        <w:t xml:space="preserve"> que estar precedida de la aprobación de un protocolo de actuación y coordinación interno e interinstitucional con la red de servicios de atención, protección y asistencia a las víctimas.</w:t>
      </w:r>
      <w:r w:rsidR="00A10AE2" w:rsidRPr="00E01D72">
        <w:rPr>
          <w:rFonts w:ascii="Times New Roman" w:hAnsi="Times New Roman" w:cs="Times New Roman"/>
          <w:sz w:val="24"/>
          <w:szCs w:val="24"/>
        </w:rPr>
        <w:t xml:space="preserve"> </w:t>
      </w:r>
    </w:p>
    <w:p w14:paraId="56A9F1E4" w14:textId="77777777" w:rsidR="00720FC8" w:rsidRPr="00E01D72" w:rsidRDefault="0041592F" w:rsidP="00E01D72">
      <w:pPr>
        <w:spacing w:before="360" w:after="60" w:line="276" w:lineRule="auto"/>
        <w:jc w:val="both"/>
        <w:rPr>
          <w:rFonts w:ascii="Times New Roman" w:hAnsi="Times New Roman" w:cs="Times New Roman"/>
          <w:sz w:val="24"/>
          <w:szCs w:val="24"/>
          <w:u w:val="single"/>
        </w:rPr>
      </w:pPr>
      <w:r w:rsidRPr="00E01D72">
        <w:rPr>
          <w:rFonts w:ascii="Times New Roman" w:hAnsi="Times New Roman" w:cs="Times New Roman"/>
          <w:sz w:val="24"/>
          <w:szCs w:val="24"/>
          <w:u w:val="single"/>
        </w:rPr>
        <w:lastRenderedPageBreak/>
        <w:t xml:space="preserve">Concesión de subvenciones y financiación </w:t>
      </w:r>
    </w:p>
    <w:p w14:paraId="50B1A4C6" w14:textId="77777777" w:rsidR="00D87F02" w:rsidRDefault="00B56EE3" w:rsidP="00D87F02">
      <w:pPr>
        <w:spacing w:before="40" w:after="40" w:line="276" w:lineRule="auto"/>
        <w:ind w:firstLine="708"/>
        <w:jc w:val="both"/>
        <w:rPr>
          <w:rFonts w:ascii="Times New Roman" w:hAnsi="Times New Roman" w:cs="Times New Roman"/>
          <w:sz w:val="24"/>
          <w:szCs w:val="24"/>
        </w:rPr>
      </w:pPr>
      <w:r>
        <w:rPr>
          <w:rFonts w:ascii="Times New Roman" w:hAnsi="Times New Roman" w:cs="Times New Roman"/>
          <w:sz w:val="24"/>
          <w:szCs w:val="24"/>
        </w:rPr>
        <w:t>En el marco del Plan España te protege contra la Violencia Machista, financiado con cargo al Plan de Recuperación, Transformación y Resiliencia (PRTR) se prevé la apertura de 52 centros de atención integral 24h (uno por provincia) para las víctimas de violencia sexual. Se prevé su finalización en el tercer trimestre de 2023. Estos centros de crisis ofrecerán acompañamiento e información telefónica, telemática y presencial, las 24 horas del día todos los días del año. Cumpliendo con criterios de atención permanente y actuación urgente, los centros facilitarán atención psicológica, jurídica y social para víctimas, familiares y personas del entorno. Además, la entrada en funcionamiento del centro de crisis tendrá que estar precedida de la aprobación de un protocolo de actuación y coordinación interno e interinstitucional con la red de servicios de atención, protección y asistencia a las víctimas. El presupuesto total ascenderá a 83.058.700 millones de euros (19.800.000 en 2021, 46.200.000€ en 2022 y 17.058.700€ en 2023).</w:t>
      </w:r>
    </w:p>
    <w:p w14:paraId="4A0B1DD1" w14:textId="77777777" w:rsidR="001E25D2" w:rsidRPr="00E01D72" w:rsidRDefault="00C302E1" w:rsidP="00D87F02">
      <w:pPr>
        <w:spacing w:before="40" w:after="40" w:line="276" w:lineRule="auto"/>
        <w:ind w:firstLine="708"/>
        <w:jc w:val="both"/>
        <w:rPr>
          <w:rFonts w:ascii="Times New Roman" w:hAnsi="Times New Roman" w:cs="Times New Roman"/>
          <w:sz w:val="24"/>
          <w:szCs w:val="24"/>
        </w:rPr>
      </w:pPr>
      <w:r w:rsidRPr="00E01D72">
        <w:rPr>
          <w:rFonts w:ascii="Times New Roman" w:hAnsi="Times New Roman" w:cs="Times New Roman"/>
          <w:sz w:val="24"/>
          <w:szCs w:val="24"/>
        </w:rPr>
        <w:t>En</w:t>
      </w:r>
      <w:r w:rsidR="001E25D2" w:rsidRPr="00E01D72">
        <w:rPr>
          <w:rFonts w:ascii="Times New Roman" w:hAnsi="Times New Roman" w:cs="Times New Roman"/>
          <w:sz w:val="24"/>
          <w:szCs w:val="24"/>
        </w:rPr>
        <w:t xml:space="preserve"> </w:t>
      </w:r>
      <w:r w:rsidR="00B55BBF">
        <w:rPr>
          <w:rFonts w:ascii="Times New Roman" w:hAnsi="Times New Roman" w:cs="Times New Roman"/>
          <w:sz w:val="24"/>
          <w:szCs w:val="24"/>
        </w:rPr>
        <w:t>relación con</w:t>
      </w:r>
      <w:r w:rsidR="001E25D2" w:rsidRPr="00E01D72">
        <w:rPr>
          <w:rFonts w:ascii="Times New Roman" w:hAnsi="Times New Roman" w:cs="Times New Roman"/>
          <w:sz w:val="24"/>
          <w:szCs w:val="24"/>
        </w:rPr>
        <w:t xml:space="preserve"> la concesión de subvenciones a entidades especializadas en violencia de género y en otras form</w:t>
      </w:r>
      <w:r w:rsidRPr="00E01D72">
        <w:rPr>
          <w:rFonts w:ascii="Times New Roman" w:hAnsi="Times New Roman" w:cs="Times New Roman"/>
          <w:sz w:val="24"/>
          <w:szCs w:val="24"/>
        </w:rPr>
        <w:t>as de violencia contra la mujer, e</w:t>
      </w:r>
      <w:r w:rsidR="001E25D2" w:rsidRPr="00E01D72">
        <w:rPr>
          <w:rFonts w:ascii="Times New Roman" w:hAnsi="Times New Roman" w:cs="Times New Roman"/>
          <w:sz w:val="24"/>
          <w:szCs w:val="24"/>
        </w:rPr>
        <w:t>n 2022</w:t>
      </w:r>
      <w:r w:rsidRPr="00E01D72">
        <w:rPr>
          <w:rFonts w:ascii="Times New Roman" w:hAnsi="Times New Roman" w:cs="Times New Roman"/>
          <w:sz w:val="24"/>
          <w:szCs w:val="24"/>
        </w:rPr>
        <w:t>,</w:t>
      </w:r>
      <w:r w:rsidR="001E25D2" w:rsidRPr="00E01D72">
        <w:rPr>
          <w:rFonts w:ascii="Times New Roman" w:hAnsi="Times New Roman" w:cs="Times New Roman"/>
          <w:sz w:val="24"/>
          <w:szCs w:val="24"/>
        </w:rPr>
        <w:t xml:space="preserve"> la </w:t>
      </w:r>
      <w:r w:rsidR="001142FF">
        <w:rPr>
          <w:rFonts w:ascii="Times New Roman" w:hAnsi="Times New Roman" w:cs="Times New Roman"/>
          <w:sz w:val="24"/>
          <w:szCs w:val="24"/>
        </w:rPr>
        <w:t>DGVG</w:t>
      </w:r>
      <w:r w:rsidR="00FF0E9C">
        <w:rPr>
          <w:rFonts w:ascii="Times New Roman" w:hAnsi="Times New Roman" w:cs="Times New Roman"/>
          <w:sz w:val="24"/>
          <w:szCs w:val="24"/>
        </w:rPr>
        <w:t xml:space="preserve"> lanzó</w:t>
      </w:r>
      <w:r w:rsidR="001E25D2" w:rsidRPr="00E01D72">
        <w:rPr>
          <w:rFonts w:ascii="Times New Roman" w:hAnsi="Times New Roman" w:cs="Times New Roman"/>
          <w:sz w:val="24"/>
          <w:szCs w:val="24"/>
        </w:rPr>
        <w:t xml:space="preserve"> una convocatoria de subvenciones públicas, destinadas a programas y proyectos de concienciación, prevención e investigación de las distintas formas de violencia contra las mujeres, por importe de 7.000.000€</w:t>
      </w:r>
      <w:r w:rsidR="002F4C61" w:rsidRPr="00E01D72">
        <w:rPr>
          <w:rStyle w:val="FootnoteReference"/>
          <w:rFonts w:ascii="Times New Roman" w:hAnsi="Times New Roman" w:cs="Times New Roman"/>
          <w:sz w:val="24"/>
          <w:szCs w:val="24"/>
        </w:rPr>
        <w:footnoteReference w:id="3"/>
      </w:r>
      <w:r w:rsidR="001E25D2" w:rsidRPr="00E01D72">
        <w:rPr>
          <w:rFonts w:ascii="Times New Roman" w:hAnsi="Times New Roman" w:cs="Times New Roman"/>
          <w:sz w:val="24"/>
          <w:szCs w:val="24"/>
        </w:rPr>
        <w:t xml:space="preserve">. La convocatoria de subvenciones para la realización de actividades de interés general consideradas de interés social de 2021, concedió subvenciones para 154 entidades, sobre los colectivos de “Mujer e Igualdad” (60), “Violencia de Género” (74), </w:t>
      </w:r>
      <w:r w:rsidR="00D90DCC" w:rsidRPr="00E01D72">
        <w:rPr>
          <w:rFonts w:ascii="Times New Roman" w:hAnsi="Times New Roman" w:cs="Times New Roman"/>
          <w:sz w:val="24"/>
          <w:szCs w:val="24"/>
        </w:rPr>
        <w:t xml:space="preserve">e </w:t>
      </w:r>
      <w:r w:rsidR="001E25D2" w:rsidRPr="00E01D72">
        <w:rPr>
          <w:rFonts w:ascii="Times New Roman" w:hAnsi="Times New Roman" w:cs="Times New Roman"/>
          <w:sz w:val="24"/>
          <w:szCs w:val="24"/>
        </w:rPr>
        <w:t>“Igualdad de trato y no Discriminación (20).</w:t>
      </w:r>
      <w:r w:rsidR="00D90DCC" w:rsidRPr="00E01D72">
        <w:rPr>
          <w:rFonts w:ascii="Times New Roman" w:hAnsi="Times New Roman" w:cs="Times New Roman"/>
          <w:sz w:val="24"/>
          <w:szCs w:val="24"/>
        </w:rPr>
        <w:t xml:space="preserve"> En 2022</w:t>
      </w:r>
      <w:r w:rsidR="001E25D2" w:rsidRPr="00E01D72">
        <w:rPr>
          <w:rFonts w:ascii="Times New Roman" w:hAnsi="Times New Roman" w:cs="Times New Roman"/>
          <w:sz w:val="24"/>
          <w:szCs w:val="24"/>
        </w:rPr>
        <w:t>, se concedieron subvenciones para 159 entidades.</w:t>
      </w:r>
    </w:p>
    <w:p w14:paraId="2783A542" w14:textId="77777777" w:rsidR="008622DD" w:rsidRPr="00E01D72" w:rsidRDefault="00A90152" w:rsidP="00E01D72">
      <w:pPr>
        <w:spacing w:before="120" w:after="120" w:line="276" w:lineRule="auto"/>
        <w:ind w:firstLine="708"/>
        <w:jc w:val="both"/>
        <w:rPr>
          <w:rFonts w:ascii="Times New Roman" w:hAnsi="Times New Roman" w:cs="Times New Roman"/>
          <w:sz w:val="24"/>
          <w:szCs w:val="24"/>
        </w:rPr>
      </w:pPr>
      <w:r>
        <w:rPr>
          <w:rFonts w:ascii="Times New Roman" w:hAnsi="Times New Roman" w:cs="Times New Roman"/>
          <w:sz w:val="24"/>
          <w:szCs w:val="24"/>
        </w:rPr>
        <w:t>Por</w:t>
      </w:r>
      <w:r w:rsidR="001E25D2" w:rsidRPr="00E01D72">
        <w:rPr>
          <w:rFonts w:ascii="Times New Roman" w:hAnsi="Times New Roman" w:cs="Times New Roman"/>
          <w:sz w:val="24"/>
          <w:szCs w:val="24"/>
        </w:rPr>
        <w:t xml:space="preserve"> lo que respecta a la financiación de los medios</w:t>
      </w:r>
      <w:r w:rsidR="00067CD9">
        <w:rPr>
          <w:rFonts w:ascii="Times New Roman" w:hAnsi="Times New Roman" w:cs="Times New Roman"/>
          <w:sz w:val="24"/>
          <w:szCs w:val="24"/>
        </w:rPr>
        <w:t>,</w:t>
      </w:r>
      <w:r w:rsidR="001E25D2" w:rsidRPr="00E01D72">
        <w:rPr>
          <w:rFonts w:ascii="Times New Roman" w:hAnsi="Times New Roman" w:cs="Times New Roman"/>
          <w:sz w:val="24"/>
          <w:szCs w:val="24"/>
        </w:rPr>
        <w:t xml:space="preserve"> personas y materi</w:t>
      </w:r>
      <w:r w:rsidR="000F417D" w:rsidRPr="00E01D72">
        <w:rPr>
          <w:rFonts w:ascii="Times New Roman" w:hAnsi="Times New Roman" w:cs="Times New Roman"/>
          <w:sz w:val="24"/>
          <w:szCs w:val="24"/>
        </w:rPr>
        <w:t>ales, cabe señalar que l</w:t>
      </w:r>
      <w:r w:rsidR="001E25D2" w:rsidRPr="00E01D72">
        <w:rPr>
          <w:rFonts w:ascii="Times New Roman" w:hAnsi="Times New Roman" w:cs="Times New Roman"/>
          <w:sz w:val="24"/>
          <w:szCs w:val="24"/>
        </w:rPr>
        <w:t>os Presupuestos Generales del Estado de 2018 a 2022 han dotado de cuantías económicas específicas, dirigidas a las diferentes administraciones públicas, para el desarrollo y cumplimiento de las medidas del Pacto de Estado. Entre 2018 y 2022 se aprobaron las siguientes leyes de Presupuestos Generales del Estado, que contemplaban partidas presupuestarias suficientes para la realización de las medidas contempladas en el PEVG:</w:t>
      </w:r>
      <w:r w:rsidR="00C0400B" w:rsidRPr="00E01D72">
        <w:rPr>
          <w:rFonts w:ascii="Times New Roman" w:hAnsi="Times New Roman" w:cs="Times New Roman"/>
          <w:sz w:val="24"/>
          <w:szCs w:val="24"/>
        </w:rPr>
        <w:t xml:space="preserve"> la</w:t>
      </w:r>
      <w:r w:rsidR="000F417D" w:rsidRPr="00E01D72">
        <w:rPr>
          <w:rFonts w:ascii="Times New Roman" w:hAnsi="Times New Roman" w:cs="Times New Roman"/>
          <w:sz w:val="24"/>
          <w:szCs w:val="24"/>
        </w:rPr>
        <w:t xml:space="preserve"> </w:t>
      </w:r>
      <w:r w:rsidR="001E25D2" w:rsidRPr="00E01D72">
        <w:rPr>
          <w:rFonts w:ascii="Times New Roman" w:hAnsi="Times New Roman" w:cs="Times New Roman"/>
          <w:i/>
          <w:sz w:val="24"/>
          <w:szCs w:val="24"/>
        </w:rPr>
        <w:t xml:space="preserve">Ley 6/2018, de 3 de julio, de Presupuestos Generales del </w:t>
      </w:r>
      <w:r w:rsidR="005D4246" w:rsidRPr="00E01D72">
        <w:rPr>
          <w:rFonts w:ascii="Times New Roman" w:hAnsi="Times New Roman" w:cs="Times New Roman"/>
          <w:i/>
          <w:sz w:val="24"/>
          <w:szCs w:val="24"/>
        </w:rPr>
        <w:t>Estado para el año 2018</w:t>
      </w:r>
      <w:r w:rsidR="005D4246" w:rsidRPr="00E01D72">
        <w:rPr>
          <w:rStyle w:val="FootnoteReference"/>
          <w:rFonts w:ascii="Times New Roman" w:hAnsi="Times New Roman" w:cs="Times New Roman"/>
          <w:sz w:val="24"/>
          <w:szCs w:val="24"/>
        </w:rPr>
        <w:footnoteReference w:id="4"/>
      </w:r>
      <w:r w:rsidR="001246FA" w:rsidRPr="00E01D72">
        <w:rPr>
          <w:rFonts w:ascii="Times New Roman" w:hAnsi="Times New Roman" w:cs="Times New Roman"/>
          <w:sz w:val="24"/>
          <w:szCs w:val="24"/>
        </w:rPr>
        <w:t>;</w:t>
      </w:r>
      <w:r w:rsidR="00C0400B" w:rsidRPr="00E01D72">
        <w:rPr>
          <w:rFonts w:ascii="Times New Roman" w:hAnsi="Times New Roman" w:cs="Times New Roman"/>
          <w:sz w:val="24"/>
          <w:szCs w:val="24"/>
        </w:rPr>
        <w:t xml:space="preserve"> la</w:t>
      </w:r>
      <w:r w:rsidR="001246FA" w:rsidRPr="00E01D72">
        <w:rPr>
          <w:rFonts w:ascii="Times New Roman" w:hAnsi="Times New Roman" w:cs="Times New Roman"/>
          <w:sz w:val="24"/>
          <w:szCs w:val="24"/>
        </w:rPr>
        <w:t xml:space="preserve"> </w:t>
      </w:r>
      <w:r w:rsidR="001E25D2" w:rsidRPr="00E01D72">
        <w:rPr>
          <w:rFonts w:ascii="Times New Roman" w:hAnsi="Times New Roman" w:cs="Times New Roman"/>
          <w:i/>
          <w:sz w:val="24"/>
          <w:szCs w:val="24"/>
        </w:rPr>
        <w:t>Ley 11/2020, de 30 de diciembre, de Presupuestos General</w:t>
      </w:r>
      <w:r w:rsidR="005D4246" w:rsidRPr="00E01D72">
        <w:rPr>
          <w:rFonts w:ascii="Times New Roman" w:hAnsi="Times New Roman" w:cs="Times New Roman"/>
          <w:i/>
          <w:sz w:val="24"/>
          <w:szCs w:val="24"/>
        </w:rPr>
        <w:t>es del Estado para el año 2021</w:t>
      </w:r>
      <w:r w:rsidR="005D4246" w:rsidRPr="00E01D72">
        <w:rPr>
          <w:rStyle w:val="FootnoteReference"/>
          <w:rFonts w:ascii="Times New Roman" w:hAnsi="Times New Roman" w:cs="Times New Roman"/>
          <w:sz w:val="24"/>
          <w:szCs w:val="24"/>
        </w:rPr>
        <w:footnoteReference w:id="5"/>
      </w:r>
      <w:r w:rsidR="00C0400B" w:rsidRPr="00E01D72">
        <w:rPr>
          <w:rFonts w:ascii="Times New Roman" w:hAnsi="Times New Roman" w:cs="Times New Roman"/>
          <w:sz w:val="24"/>
          <w:szCs w:val="24"/>
        </w:rPr>
        <w:t xml:space="preserve">; y la </w:t>
      </w:r>
      <w:r w:rsidR="001E25D2" w:rsidRPr="00E01D72">
        <w:rPr>
          <w:rFonts w:ascii="Times New Roman" w:hAnsi="Times New Roman" w:cs="Times New Roman"/>
          <w:i/>
          <w:sz w:val="24"/>
          <w:szCs w:val="24"/>
        </w:rPr>
        <w:t>Ley 22/2021, de 28 de diciembre, de Presupuestos General</w:t>
      </w:r>
      <w:r w:rsidR="005D4246" w:rsidRPr="00E01D72">
        <w:rPr>
          <w:rFonts w:ascii="Times New Roman" w:hAnsi="Times New Roman" w:cs="Times New Roman"/>
          <w:i/>
          <w:sz w:val="24"/>
          <w:szCs w:val="24"/>
        </w:rPr>
        <w:t>es del Estado para el año 2022</w:t>
      </w:r>
      <w:r w:rsidR="005D4246" w:rsidRPr="00E01D72">
        <w:rPr>
          <w:rStyle w:val="FootnoteReference"/>
          <w:rFonts w:ascii="Times New Roman" w:hAnsi="Times New Roman" w:cs="Times New Roman"/>
          <w:sz w:val="24"/>
          <w:szCs w:val="24"/>
        </w:rPr>
        <w:footnoteReference w:id="6"/>
      </w:r>
      <w:r w:rsidR="001E25D2" w:rsidRPr="00E01D72">
        <w:rPr>
          <w:rFonts w:ascii="Times New Roman" w:hAnsi="Times New Roman" w:cs="Times New Roman"/>
          <w:sz w:val="24"/>
          <w:szCs w:val="24"/>
        </w:rPr>
        <w:t>.</w:t>
      </w:r>
      <w:r w:rsidR="00C0400B" w:rsidRPr="00E01D72">
        <w:rPr>
          <w:rFonts w:ascii="Times New Roman" w:hAnsi="Times New Roman" w:cs="Times New Roman"/>
          <w:sz w:val="24"/>
          <w:szCs w:val="24"/>
        </w:rPr>
        <w:t xml:space="preserve"> </w:t>
      </w:r>
      <w:r w:rsidR="001E25D2" w:rsidRPr="00E01D72">
        <w:rPr>
          <w:rFonts w:ascii="Times New Roman" w:hAnsi="Times New Roman" w:cs="Times New Roman"/>
          <w:sz w:val="24"/>
          <w:szCs w:val="24"/>
        </w:rPr>
        <w:t>Se han destinado 1.040.000.000,00 euros durante los cinco primeros años de vigencia del Pacto de Estado</w:t>
      </w:r>
      <w:r w:rsidR="008622DD" w:rsidRPr="00E01D72">
        <w:rPr>
          <w:rFonts w:ascii="Times New Roman" w:hAnsi="Times New Roman" w:cs="Times New Roman"/>
          <w:sz w:val="24"/>
          <w:szCs w:val="24"/>
        </w:rPr>
        <w:t xml:space="preserve">, </w:t>
      </w:r>
      <w:r w:rsidR="001E25D2" w:rsidRPr="00E01D72">
        <w:rPr>
          <w:rFonts w:ascii="Times New Roman" w:hAnsi="Times New Roman" w:cs="Times New Roman"/>
          <w:sz w:val="24"/>
          <w:szCs w:val="24"/>
        </w:rPr>
        <w:t>40.</w:t>
      </w:r>
      <w:r w:rsidR="008622DD" w:rsidRPr="00E01D72">
        <w:rPr>
          <w:rFonts w:ascii="Times New Roman" w:hAnsi="Times New Roman" w:cs="Times New Roman"/>
          <w:sz w:val="24"/>
          <w:szCs w:val="24"/>
        </w:rPr>
        <w:t>000.000,00 más de lo previsto.</w:t>
      </w:r>
    </w:p>
    <w:p w14:paraId="00678FA6" w14:textId="77777777" w:rsidR="00FF36FC" w:rsidRPr="00E01D72" w:rsidRDefault="00FF36FC" w:rsidP="00E01D72">
      <w:pPr>
        <w:spacing w:before="60" w:after="60" w:line="276" w:lineRule="auto"/>
        <w:jc w:val="both"/>
        <w:rPr>
          <w:rFonts w:ascii="Times New Roman" w:hAnsi="Times New Roman" w:cs="Times New Roman"/>
          <w:sz w:val="24"/>
          <w:szCs w:val="24"/>
        </w:rPr>
      </w:pPr>
    </w:p>
    <w:p w14:paraId="1FFE8F66" w14:textId="77777777" w:rsidR="00D929AA" w:rsidRPr="00E01D72" w:rsidRDefault="00015C2F" w:rsidP="00E01D72">
      <w:pPr>
        <w:spacing w:before="60" w:after="60" w:line="276" w:lineRule="auto"/>
        <w:ind w:firstLine="708"/>
        <w:jc w:val="both"/>
        <w:rPr>
          <w:rFonts w:ascii="Times New Roman" w:hAnsi="Times New Roman" w:cs="Times New Roman"/>
          <w:sz w:val="24"/>
          <w:szCs w:val="24"/>
        </w:rPr>
      </w:pPr>
      <w:r w:rsidRPr="00E01D72">
        <w:rPr>
          <w:rFonts w:ascii="Times New Roman" w:hAnsi="Times New Roman" w:cs="Times New Roman"/>
          <w:sz w:val="24"/>
          <w:szCs w:val="24"/>
        </w:rPr>
        <w:t>Por otra parte, e</w:t>
      </w:r>
      <w:r w:rsidR="001E25D2" w:rsidRPr="00E01D72">
        <w:rPr>
          <w:rFonts w:ascii="Times New Roman" w:hAnsi="Times New Roman" w:cs="Times New Roman"/>
          <w:sz w:val="24"/>
          <w:szCs w:val="24"/>
        </w:rPr>
        <w:t>l presupuesto del Ministerio de Igualdad se ha incrementado un 217% a lo largo de la legislatura</w:t>
      </w:r>
      <w:r w:rsidR="00F7286D">
        <w:rPr>
          <w:rFonts w:ascii="Times New Roman" w:hAnsi="Times New Roman" w:cs="Times New Roman"/>
          <w:sz w:val="24"/>
          <w:szCs w:val="24"/>
        </w:rPr>
        <w:t xml:space="preserve"> actual</w:t>
      </w:r>
      <w:r w:rsidR="001E25D2" w:rsidRPr="00E01D72">
        <w:rPr>
          <w:rFonts w:ascii="Times New Roman" w:hAnsi="Times New Roman" w:cs="Times New Roman"/>
          <w:sz w:val="24"/>
          <w:szCs w:val="24"/>
        </w:rPr>
        <w:t xml:space="preserve">, pasando de 181 millones de euros en 2019 a 573 millones de euros en 2023. En concreto, la partida destinada a políticas contra las violencias machistas supone un 46% del presupuesto de 2023 (261 millones de euros), a </w:t>
      </w:r>
      <w:r w:rsidR="001E25D2" w:rsidRPr="00E01D72">
        <w:rPr>
          <w:rFonts w:ascii="Times New Roman" w:hAnsi="Times New Roman" w:cs="Times New Roman"/>
          <w:sz w:val="24"/>
          <w:szCs w:val="24"/>
        </w:rPr>
        <w:lastRenderedPageBreak/>
        <w:t>lo que se deben sumar los 59 millones de euros del Mecanismo de Recuperación</w:t>
      </w:r>
      <w:r w:rsidR="008A6E7B" w:rsidRPr="00E01D72">
        <w:rPr>
          <w:rFonts w:ascii="Times New Roman" w:hAnsi="Times New Roman" w:cs="Times New Roman"/>
          <w:sz w:val="24"/>
          <w:szCs w:val="24"/>
        </w:rPr>
        <w:t xml:space="preserve">, Transformación y Resiliencia y </w:t>
      </w:r>
      <w:r w:rsidR="001E25D2" w:rsidRPr="00E01D72">
        <w:rPr>
          <w:rFonts w:ascii="Times New Roman" w:hAnsi="Times New Roman" w:cs="Times New Roman"/>
          <w:sz w:val="24"/>
          <w:szCs w:val="24"/>
        </w:rPr>
        <w:t>30 millones de euros adicionales de los fondos europeos, con los que las políticas para la prevención y lucha contra las violencias machistas llegan en 2023 a los 350 millones de euros.</w:t>
      </w:r>
    </w:p>
    <w:p w14:paraId="03D00976" w14:textId="77777777" w:rsidR="00C93435" w:rsidRPr="00BD51E7" w:rsidRDefault="00C93435" w:rsidP="00E01D72">
      <w:pPr>
        <w:spacing w:before="120" w:after="120" w:line="276" w:lineRule="auto"/>
        <w:jc w:val="both"/>
        <w:rPr>
          <w:rFonts w:ascii="Times New Roman" w:hAnsi="Times New Roman" w:cs="Times New Roman"/>
          <w:b/>
          <w:sz w:val="14"/>
          <w:szCs w:val="14"/>
        </w:rPr>
      </w:pPr>
    </w:p>
    <w:p w14:paraId="5F07A7B7" w14:textId="77777777" w:rsidR="00F96E3F" w:rsidRPr="00E01D72" w:rsidRDefault="00F96E3F" w:rsidP="00F96E3F">
      <w:pPr>
        <w:spacing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Respuesta al párrafo 7 de la lista de cuestiones </w:t>
      </w:r>
    </w:p>
    <w:p w14:paraId="43BA0BFE" w14:textId="77777777" w:rsidR="00416BD4" w:rsidRPr="00E01D72" w:rsidRDefault="007C409A" w:rsidP="00E01D72">
      <w:pPr>
        <w:spacing w:before="120" w:after="120" w:line="276" w:lineRule="auto"/>
        <w:jc w:val="both"/>
        <w:rPr>
          <w:rFonts w:ascii="Times New Roman" w:hAnsi="Times New Roman" w:cs="Times New Roman"/>
          <w:sz w:val="24"/>
          <w:szCs w:val="24"/>
          <w:u w:val="single"/>
        </w:rPr>
      </w:pPr>
      <w:r w:rsidRPr="00E01D72">
        <w:rPr>
          <w:rFonts w:ascii="Times New Roman" w:hAnsi="Times New Roman" w:cs="Times New Roman"/>
          <w:sz w:val="24"/>
          <w:szCs w:val="24"/>
          <w:u w:val="single"/>
        </w:rPr>
        <w:t>Datos estadísticos</w:t>
      </w:r>
      <w:r w:rsidR="00416BD4" w:rsidRPr="00E01D72">
        <w:rPr>
          <w:rFonts w:ascii="Times New Roman" w:hAnsi="Times New Roman" w:cs="Times New Roman"/>
          <w:sz w:val="24"/>
          <w:szCs w:val="24"/>
          <w:u w:val="single"/>
        </w:rPr>
        <w:t xml:space="preserve"> </w:t>
      </w:r>
    </w:p>
    <w:p w14:paraId="536AFA6C" w14:textId="77777777" w:rsidR="00A432CF" w:rsidRPr="00E01D72" w:rsidRDefault="00AE6CBC" w:rsidP="00AE6CBC">
      <w:pPr>
        <w:spacing w:before="120" w:after="120" w:line="276" w:lineRule="auto"/>
        <w:ind w:firstLine="708"/>
        <w:jc w:val="both"/>
        <w:rPr>
          <w:rFonts w:ascii="Times New Roman" w:hAnsi="Times New Roman" w:cs="Times New Roman"/>
          <w:sz w:val="24"/>
          <w:szCs w:val="24"/>
        </w:rPr>
      </w:pPr>
      <w:r>
        <w:rPr>
          <w:rFonts w:ascii="Times New Roman" w:hAnsi="Times New Roman" w:cs="Times New Roman"/>
          <w:sz w:val="24"/>
          <w:szCs w:val="24"/>
        </w:rPr>
        <w:t>L</w:t>
      </w:r>
      <w:r w:rsidR="002D7EA9" w:rsidRPr="00E01D72">
        <w:rPr>
          <w:rFonts w:ascii="Times New Roman" w:hAnsi="Times New Roman" w:cs="Times New Roman"/>
          <w:sz w:val="24"/>
          <w:szCs w:val="24"/>
        </w:rPr>
        <w:t xml:space="preserve">a información estadística </w:t>
      </w:r>
      <w:r>
        <w:rPr>
          <w:rFonts w:ascii="Times New Roman" w:hAnsi="Times New Roman" w:cs="Times New Roman"/>
          <w:sz w:val="24"/>
          <w:szCs w:val="24"/>
        </w:rPr>
        <w:t>actualizada que se solicita</w:t>
      </w:r>
      <w:r w:rsidR="002D7EA9" w:rsidRPr="00E01D72">
        <w:rPr>
          <w:rFonts w:ascii="Times New Roman" w:hAnsi="Times New Roman" w:cs="Times New Roman"/>
          <w:sz w:val="24"/>
          <w:szCs w:val="24"/>
        </w:rPr>
        <w:t xml:space="preserve"> sobre denuncias, investigaciones, enjuiciamientos y penas impuestas en casos de trata de mujeres y niñas con fines de explotación sexual entre los años 2018-2021, </w:t>
      </w:r>
      <w:r w:rsidR="00EA6388">
        <w:rPr>
          <w:rFonts w:ascii="Times New Roman" w:hAnsi="Times New Roman" w:cs="Times New Roman"/>
          <w:sz w:val="24"/>
          <w:szCs w:val="24"/>
        </w:rPr>
        <w:t>se encuentra disponible</w:t>
      </w:r>
      <w:r w:rsidR="002D7EA9" w:rsidRPr="00E01D72">
        <w:rPr>
          <w:rFonts w:ascii="Times New Roman" w:hAnsi="Times New Roman" w:cs="Times New Roman"/>
          <w:sz w:val="24"/>
          <w:szCs w:val="24"/>
        </w:rPr>
        <w:t xml:space="preserve"> en la página web de la Delegación del Gobierno contra la Violencia de Género</w:t>
      </w:r>
      <w:r>
        <w:rPr>
          <w:rFonts w:ascii="Times New Roman" w:hAnsi="Times New Roman" w:cs="Times New Roman"/>
          <w:sz w:val="24"/>
          <w:szCs w:val="24"/>
        </w:rPr>
        <w:t xml:space="preserve"> (DGVG)</w:t>
      </w:r>
      <w:r w:rsidR="002D7EA9" w:rsidRPr="00E01D72">
        <w:rPr>
          <w:rFonts w:ascii="Times New Roman" w:hAnsi="Times New Roman" w:cs="Times New Roman"/>
          <w:sz w:val="24"/>
          <w:szCs w:val="24"/>
        </w:rPr>
        <w:t xml:space="preserve">: </w:t>
      </w:r>
      <w:hyperlink r:id="rId9" w:history="1">
        <w:r w:rsidR="002D7EA9" w:rsidRPr="00E01D72">
          <w:rPr>
            <w:rStyle w:val="Hyperlink"/>
            <w:rFonts w:ascii="Times New Roman" w:hAnsi="Times New Roman" w:cs="Times New Roman"/>
            <w:sz w:val="24"/>
            <w:szCs w:val="24"/>
          </w:rPr>
          <w:t>https://violenciagenero.igualdad.gob.es/violenciaEnCifras/boletines/boletinAnual/home.htm</w:t>
        </w:r>
      </w:hyperlink>
      <w:r w:rsidR="002D7EA9" w:rsidRPr="00E01D72">
        <w:rPr>
          <w:rFonts w:ascii="Times New Roman" w:hAnsi="Times New Roman" w:cs="Times New Roman"/>
          <w:sz w:val="24"/>
          <w:szCs w:val="24"/>
        </w:rPr>
        <w:t>.</w:t>
      </w:r>
    </w:p>
    <w:p w14:paraId="4A15D155" w14:textId="77777777" w:rsidR="004D320B" w:rsidRPr="00E01D72" w:rsidRDefault="008F0AD1" w:rsidP="00E01D72">
      <w:pPr>
        <w:spacing w:before="120" w:after="120" w:line="276" w:lineRule="auto"/>
        <w:ind w:firstLine="708"/>
        <w:jc w:val="both"/>
        <w:rPr>
          <w:rFonts w:ascii="Times New Roman" w:hAnsi="Times New Roman" w:cs="Times New Roman"/>
          <w:sz w:val="24"/>
          <w:szCs w:val="24"/>
        </w:rPr>
      </w:pPr>
      <w:r>
        <w:rPr>
          <w:rFonts w:ascii="Times New Roman" w:hAnsi="Times New Roman" w:cs="Times New Roman"/>
          <w:sz w:val="24"/>
          <w:szCs w:val="24"/>
        </w:rPr>
        <w:t>Además</w:t>
      </w:r>
      <w:r w:rsidR="004D320B" w:rsidRPr="00E01D72">
        <w:rPr>
          <w:rFonts w:ascii="Times New Roman" w:hAnsi="Times New Roman" w:cs="Times New Roman"/>
          <w:sz w:val="24"/>
          <w:szCs w:val="24"/>
        </w:rPr>
        <w:t xml:space="preserve">, la DGVG está llevando a cabo los trabajos necesarios para la contratación de un estudio sobre trata, explotación sexual y prostitución de mujeres y niñas en España, con la </w:t>
      </w:r>
      <w:r w:rsidR="00FA27E7">
        <w:rPr>
          <w:rFonts w:ascii="Times New Roman" w:hAnsi="Times New Roman" w:cs="Times New Roman"/>
          <w:sz w:val="24"/>
          <w:szCs w:val="24"/>
        </w:rPr>
        <w:t>finalidad</w:t>
      </w:r>
      <w:r w:rsidR="004D320B" w:rsidRPr="00E01D72">
        <w:rPr>
          <w:rFonts w:ascii="Times New Roman" w:hAnsi="Times New Roman" w:cs="Times New Roman"/>
          <w:sz w:val="24"/>
          <w:szCs w:val="24"/>
        </w:rPr>
        <w:t xml:space="preserve"> de avanzar en la disponibilidad de datos estadísticos suficientes, coherentes y comparables en la materia. </w:t>
      </w:r>
    </w:p>
    <w:p w14:paraId="420C8A63" w14:textId="77777777" w:rsidR="004D320B" w:rsidRPr="00E01D72" w:rsidRDefault="004D320B" w:rsidP="00E01D72">
      <w:pPr>
        <w:spacing w:before="120" w:after="120" w:line="276" w:lineRule="auto"/>
        <w:jc w:val="both"/>
        <w:rPr>
          <w:rFonts w:ascii="Times New Roman" w:hAnsi="Times New Roman" w:cs="Times New Roman"/>
          <w:sz w:val="24"/>
          <w:szCs w:val="24"/>
        </w:rPr>
      </w:pPr>
    </w:p>
    <w:p w14:paraId="7625D001" w14:textId="77777777" w:rsidR="00401D4C" w:rsidRPr="00E01D72" w:rsidRDefault="004D320B" w:rsidP="00E01D72">
      <w:pPr>
        <w:spacing w:before="120" w:after="120" w:line="276" w:lineRule="auto"/>
        <w:jc w:val="both"/>
        <w:rPr>
          <w:rFonts w:ascii="Times New Roman" w:hAnsi="Times New Roman" w:cs="Times New Roman"/>
          <w:sz w:val="24"/>
          <w:szCs w:val="24"/>
          <w:u w:val="single"/>
        </w:rPr>
      </w:pPr>
      <w:r w:rsidRPr="00E01D72">
        <w:rPr>
          <w:rFonts w:ascii="Times New Roman" w:hAnsi="Times New Roman" w:cs="Times New Roman"/>
          <w:sz w:val="24"/>
          <w:szCs w:val="24"/>
          <w:u w:val="single"/>
        </w:rPr>
        <w:t>Medidas</w:t>
      </w:r>
      <w:r w:rsidR="00C61B48" w:rsidRPr="00E01D72">
        <w:rPr>
          <w:rFonts w:ascii="Times New Roman" w:hAnsi="Times New Roman" w:cs="Times New Roman"/>
          <w:sz w:val="24"/>
          <w:szCs w:val="24"/>
          <w:u w:val="single"/>
        </w:rPr>
        <w:t xml:space="preserve"> para la efectiva identificación de las víctimas de trata de personas</w:t>
      </w:r>
    </w:p>
    <w:p w14:paraId="23A9A09D" w14:textId="77777777" w:rsidR="002713C9" w:rsidRPr="00E01D72" w:rsidRDefault="00A95852" w:rsidP="00E01D72">
      <w:pPr>
        <w:spacing w:before="120" w:after="120" w:line="276" w:lineRule="auto"/>
        <w:ind w:firstLine="708"/>
        <w:jc w:val="both"/>
        <w:rPr>
          <w:rFonts w:ascii="Times New Roman" w:hAnsi="Times New Roman" w:cs="Times New Roman"/>
          <w:b/>
          <w:sz w:val="24"/>
          <w:szCs w:val="24"/>
        </w:rPr>
      </w:pPr>
      <w:r w:rsidRPr="00E01D72">
        <w:rPr>
          <w:rFonts w:ascii="Times New Roman" w:hAnsi="Times New Roman" w:cs="Times New Roman"/>
          <w:sz w:val="24"/>
          <w:szCs w:val="24"/>
        </w:rPr>
        <w:t xml:space="preserve">En </w:t>
      </w:r>
      <w:r w:rsidR="005B05A1">
        <w:rPr>
          <w:rFonts w:ascii="Times New Roman" w:hAnsi="Times New Roman" w:cs="Times New Roman"/>
          <w:sz w:val="24"/>
          <w:szCs w:val="24"/>
        </w:rPr>
        <w:t>relación con</w:t>
      </w:r>
      <w:r w:rsidRPr="00E01D72">
        <w:rPr>
          <w:rFonts w:ascii="Times New Roman" w:hAnsi="Times New Roman" w:cs="Times New Roman"/>
          <w:sz w:val="24"/>
          <w:szCs w:val="24"/>
        </w:rPr>
        <w:t xml:space="preserve"> las medidas adoptadas para la efectiva identificación de las víctimas de trata de personas y su acceso a medios de reparación efectivos</w:t>
      </w:r>
      <w:r w:rsidRPr="00E01D72">
        <w:rPr>
          <w:rFonts w:ascii="Times New Roman" w:hAnsi="Times New Roman" w:cs="Times New Roman"/>
          <w:b/>
          <w:sz w:val="24"/>
          <w:szCs w:val="24"/>
        </w:rPr>
        <w:t>,</w:t>
      </w:r>
      <w:r w:rsidR="00267D07" w:rsidRPr="00E01D72">
        <w:rPr>
          <w:rFonts w:ascii="Times New Roman" w:hAnsi="Times New Roman" w:cs="Times New Roman"/>
          <w:b/>
          <w:sz w:val="24"/>
          <w:szCs w:val="24"/>
        </w:rPr>
        <w:t xml:space="preserve"> </w:t>
      </w:r>
      <w:r w:rsidR="00951206" w:rsidRPr="00E01D72">
        <w:rPr>
          <w:rFonts w:ascii="Times New Roman" w:hAnsi="Times New Roman" w:cs="Times New Roman"/>
          <w:sz w:val="24"/>
          <w:szCs w:val="24"/>
        </w:rPr>
        <w:t>la DGVG tiene atribuido, en el ámbito de la trata de mujeres y niñas con fines de explotación sexual, el impulso d</w:t>
      </w:r>
      <w:r w:rsidR="007B681B" w:rsidRPr="00E01D72">
        <w:rPr>
          <w:rFonts w:ascii="Times New Roman" w:hAnsi="Times New Roman" w:cs="Times New Roman"/>
          <w:sz w:val="24"/>
          <w:szCs w:val="24"/>
        </w:rPr>
        <w:t xml:space="preserve">e la coordinación institucional, </w:t>
      </w:r>
      <w:r w:rsidR="00951206" w:rsidRPr="00E01D72">
        <w:rPr>
          <w:rFonts w:ascii="Times New Roman" w:hAnsi="Times New Roman" w:cs="Times New Roman"/>
          <w:sz w:val="24"/>
          <w:szCs w:val="24"/>
        </w:rPr>
        <w:t>incluida la participación de la sociedad civil, para la atención, asistencia y protección de las víctimas</w:t>
      </w:r>
      <w:r w:rsidR="00EE5503" w:rsidRPr="00E01D72">
        <w:rPr>
          <w:rStyle w:val="FootnoteReference"/>
          <w:rFonts w:ascii="Times New Roman" w:hAnsi="Times New Roman" w:cs="Times New Roman"/>
          <w:sz w:val="24"/>
          <w:szCs w:val="24"/>
        </w:rPr>
        <w:footnoteReference w:id="7"/>
      </w:r>
      <w:r w:rsidR="00951206" w:rsidRPr="00E01D72">
        <w:rPr>
          <w:rFonts w:ascii="Times New Roman" w:hAnsi="Times New Roman" w:cs="Times New Roman"/>
          <w:sz w:val="24"/>
          <w:szCs w:val="24"/>
        </w:rPr>
        <w:t>. También, de acuerdo con las competencias en materia de violencia contra las mujeres, la DGVG es el centro directivo encargado de impulsar medidas dirigidas a la prevención de los matrimonios forzados y otras formas serviles de matrimonio, para cuyo abordaje se recogen medidas específicas en el Pacto de Estado</w:t>
      </w:r>
      <w:r w:rsidR="002713C9" w:rsidRPr="00E01D72">
        <w:rPr>
          <w:rFonts w:ascii="Times New Roman" w:hAnsi="Times New Roman" w:cs="Times New Roman"/>
          <w:sz w:val="24"/>
          <w:szCs w:val="24"/>
        </w:rPr>
        <w:t xml:space="preserve"> contra la Violencia de Género.</w:t>
      </w:r>
    </w:p>
    <w:p w14:paraId="3D837064" w14:textId="77777777" w:rsidR="004D320B" w:rsidRDefault="00951206" w:rsidP="00E01D72">
      <w:pPr>
        <w:spacing w:before="120" w:after="120" w:line="276" w:lineRule="auto"/>
        <w:ind w:firstLine="708"/>
        <w:jc w:val="both"/>
        <w:rPr>
          <w:rFonts w:ascii="Times New Roman" w:hAnsi="Times New Roman" w:cs="Times New Roman"/>
          <w:sz w:val="24"/>
          <w:szCs w:val="24"/>
        </w:rPr>
      </w:pPr>
      <w:r w:rsidRPr="00E01D72">
        <w:rPr>
          <w:rFonts w:ascii="Times New Roman" w:hAnsi="Times New Roman" w:cs="Times New Roman"/>
          <w:sz w:val="24"/>
          <w:szCs w:val="24"/>
        </w:rPr>
        <w:t>En el desarrollo de estas competencias, la DGVG participa o desarrolla las siguientes medidas, incluyendo sensibilización, prevención y reducción de la demanda:</w:t>
      </w:r>
      <w:r w:rsidR="007037BC" w:rsidRPr="00E01D72">
        <w:rPr>
          <w:rFonts w:ascii="Times New Roman" w:hAnsi="Times New Roman" w:cs="Times New Roman"/>
          <w:sz w:val="24"/>
          <w:szCs w:val="24"/>
        </w:rPr>
        <w:t xml:space="preserve"> el </w:t>
      </w:r>
      <w:r w:rsidRPr="00E01D72">
        <w:rPr>
          <w:rFonts w:ascii="Times New Roman" w:hAnsi="Times New Roman" w:cs="Times New Roman"/>
          <w:sz w:val="24"/>
          <w:szCs w:val="24"/>
        </w:rPr>
        <w:t xml:space="preserve">Anteproyecto de la </w:t>
      </w:r>
      <w:r w:rsidRPr="00773481">
        <w:rPr>
          <w:rFonts w:ascii="Times New Roman" w:hAnsi="Times New Roman" w:cs="Times New Roman"/>
          <w:i/>
          <w:sz w:val="24"/>
          <w:szCs w:val="24"/>
        </w:rPr>
        <w:t xml:space="preserve">Ley </w:t>
      </w:r>
      <w:r w:rsidR="006B6E05" w:rsidRPr="00773481">
        <w:rPr>
          <w:rFonts w:ascii="Times New Roman" w:hAnsi="Times New Roman" w:cs="Times New Roman"/>
          <w:i/>
          <w:sz w:val="24"/>
          <w:szCs w:val="24"/>
        </w:rPr>
        <w:t xml:space="preserve">Orgánica </w:t>
      </w:r>
      <w:r w:rsidR="00773481" w:rsidRPr="00773481">
        <w:rPr>
          <w:rFonts w:ascii="Times New Roman" w:hAnsi="Times New Roman" w:cs="Times New Roman"/>
          <w:i/>
          <w:sz w:val="24"/>
          <w:szCs w:val="24"/>
        </w:rPr>
        <w:t>Integral contra la t</w:t>
      </w:r>
      <w:r w:rsidRPr="00773481">
        <w:rPr>
          <w:rFonts w:ascii="Times New Roman" w:hAnsi="Times New Roman" w:cs="Times New Roman"/>
          <w:i/>
          <w:sz w:val="24"/>
          <w:szCs w:val="24"/>
        </w:rPr>
        <w:t>rata</w:t>
      </w:r>
      <w:r w:rsidR="00773481" w:rsidRPr="00773481">
        <w:rPr>
          <w:rFonts w:ascii="Times New Roman" w:hAnsi="Times New Roman" w:cs="Times New Roman"/>
          <w:i/>
          <w:sz w:val="24"/>
          <w:szCs w:val="24"/>
        </w:rPr>
        <w:t xml:space="preserve"> y la explotación de seres</w:t>
      </w:r>
      <w:r w:rsidR="00773481">
        <w:rPr>
          <w:rFonts w:ascii="Times New Roman" w:hAnsi="Times New Roman" w:cs="Times New Roman"/>
          <w:sz w:val="24"/>
          <w:szCs w:val="24"/>
        </w:rPr>
        <w:t xml:space="preserve"> </w:t>
      </w:r>
      <w:r w:rsidR="00773481" w:rsidRPr="00773481">
        <w:rPr>
          <w:rFonts w:ascii="Times New Roman" w:hAnsi="Times New Roman" w:cs="Times New Roman"/>
          <w:i/>
          <w:sz w:val="24"/>
          <w:szCs w:val="24"/>
        </w:rPr>
        <w:t>humanos</w:t>
      </w:r>
      <w:r w:rsidR="00A95852" w:rsidRPr="00E01D72">
        <w:rPr>
          <w:rFonts w:ascii="Times New Roman" w:hAnsi="Times New Roman" w:cs="Times New Roman"/>
          <w:sz w:val="24"/>
          <w:szCs w:val="24"/>
        </w:rPr>
        <w:t>, prevista</w:t>
      </w:r>
      <w:r w:rsidRPr="00E01D72">
        <w:rPr>
          <w:rFonts w:ascii="Times New Roman" w:hAnsi="Times New Roman" w:cs="Times New Roman"/>
          <w:sz w:val="24"/>
          <w:szCs w:val="24"/>
        </w:rPr>
        <w:t xml:space="preserve"> en el PEVG, actual</w:t>
      </w:r>
      <w:r w:rsidR="00A95852" w:rsidRPr="00E01D72">
        <w:rPr>
          <w:rFonts w:ascii="Times New Roman" w:hAnsi="Times New Roman" w:cs="Times New Roman"/>
          <w:sz w:val="24"/>
          <w:szCs w:val="24"/>
        </w:rPr>
        <w:t xml:space="preserve">mente en estado de tramitación; la </w:t>
      </w:r>
      <w:r w:rsidRPr="00E01D72">
        <w:rPr>
          <w:rFonts w:ascii="Times New Roman" w:hAnsi="Times New Roman" w:cs="Times New Roman"/>
          <w:i/>
          <w:sz w:val="24"/>
          <w:szCs w:val="24"/>
        </w:rPr>
        <w:t>Ley Orgánica 10/2022, de 6 de septiembre, de garantí</w:t>
      </w:r>
      <w:r w:rsidR="007037BC" w:rsidRPr="00E01D72">
        <w:rPr>
          <w:rFonts w:ascii="Times New Roman" w:hAnsi="Times New Roman" w:cs="Times New Roman"/>
          <w:i/>
          <w:sz w:val="24"/>
          <w:szCs w:val="24"/>
        </w:rPr>
        <w:t xml:space="preserve">a integral de la libertad sexual </w:t>
      </w:r>
      <w:r w:rsidR="007037BC" w:rsidRPr="00E01D72">
        <w:rPr>
          <w:rFonts w:ascii="Times New Roman" w:hAnsi="Times New Roman" w:cs="Times New Roman"/>
          <w:sz w:val="24"/>
          <w:szCs w:val="24"/>
        </w:rPr>
        <w:t>que</w:t>
      </w:r>
      <w:r w:rsidR="007037BC" w:rsidRPr="00E01D72">
        <w:rPr>
          <w:rFonts w:ascii="Times New Roman" w:hAnsi="Times New Roman" w:cs="Times New Roman"/>
          <w:i/>
          <w:sz w:val="24"/>
          <w:szCs w:val="24"/>
        </w:rPr>
        <w:t xml:space="preserve"> </w:t>
      </w:r>
      <w:r w:rsidRPr="00E01D72">
        <w:rPr>
          <w:rFonts w:ascii="Times New Roman" w:hAnsi="Times New Roman" w:cs="Times New Roman"/>
          <w:sz w:val="24"/>
          <w:szCs w:val="24"/>
        </w:rPr>
        <w:t xml:space="preserve">amplía el concepto de “violencia de género” a todas las violencias contempladas en el Convenio de Estambul, incluida la trata </w:t>
      </w:r>
      <w:r w:rsidR="00A95852" w:rsidRPr="00E01D72">
        <w:rPr>
          <w:rFonts w:ascii="Times New Roman" w:hAnsi="Times New Roman" w:cs="Times New Roman"/>
          <w:sz w:val="24"/>
          <w:szCs w:val="24"/>
        </w:rPr>
        <w:t>con fines de explotación sexual y e</w:t>
      </w:r>
      <w:r w:rsidRPr="00E01D72">
        <w:rPr>
          <w:rFonts w:ascii="Times New Roman" w:hAnsi="Times New Roman" w:cs="Times New Roman"/>
          <w:sz w:val="24"/>
          <w:szCs w:val="24"/>
        </w:rPr>
        <w:t xml:space="preserve">s especialmente relevante, tal y como se ha señalado anteriormente, el reconocimiento del “feminicidio sexual” entendido como  el “homicidio o asesinato de mujeres y niñas vinculado a conductas definidas […] como violencias sexuales”, lo que incluye la trata de mujeres y niñas </w:t>
      </w:r>
      <w:r w:rsidR="00A95852" w:rsidRPr="00E01D72">
        <w:rPr>
          <w:rFonts w:ascii="Times New Roman" w:hAnsi="Times New Roman" w:cs="Times New Roman"/>
          <w:sz w:val="24"/>
          <w:szCs w:val="24"/>
        </w:rPr>
        <w:t xml:space="preserve">con </w:t>
      </w:r>
      <w:r w:rsidR="00A95852" w:rsidRPr="00E01D72">
        <w:rPr>
          <w:rFonts w:ascii="Times New Roman" w:hAnsi="Times New Roman" w:cs="Times New Roman"/>
          <w:sz w:val="24"/>
          <w:szCs w:val="24"/>
        </w:rPr>
        <w:lastRenderedPageBreak/>
        <w:t xml:space="preserve">fines de explotación sexual; la </w:t>
      </w:r>
      <w:r w:rsidRPr="00E01D72">
        <w:rPr>
          <w:rFonts w:ascii="Times New Roman" w:hAnsi="Times New Roman" w:cs="Times New Roman"/>
          <w:i/>
          <w:sz w:val="24"/>
          <w:szCs w:val="24"/>
        </w:rPr>
        <w:t>Estrategia Estatal para combatir las Violencias Machistas 2022-2025</w:t>
      </w:r>
      <w:r w:rsidR="00A95852" w:rsidRPr="00E01D72">
        <w:rPr>
          <w:rFonts w:ascii="Times New Roman" w:hAnsi="Times New Roman" w:cs="Times New Roman"/>
          <w:sz w:val="24"/>
          <w:szCs w:val="24"/>
        </w:rPr>
        <w:t xml:space="preserve">; el </w:t>
      </w:r>
      <w:r w:rsidRPr="00E01D72">
        <w:rPr>
          <w:rFonts w:ascii="Times New Roman" w:hAnsi="Times New Roman" w:cs="Times New Roman"/>
          <w:i/>
          <w:sz w:val="24"/>
          <w:szCs w:val="24"/>
        </w:rPr>
        <w:t>Plan Estratégico Nacional contra la Trata y la Explotación de Seres Humanos (PENTRA)</w:t>
      </w:r>
      <w:r w:rsidR="00A95852" w:rsidRPr="00E01D72">
        <w:rPr>
          <w:rFonts w:ascii="Times New Roman" w:hAnsi="Times New Roman" w:cs="Times New Roman"/>
          <w:sz w:val="24"/>
          <w:szCs w:val="24"/>
        </w:rPr>
        <w:t xml:space="preserve">, </w:t>
      </w:r>
      <w:r w:rsidRPr="00E01D72">
        <w:rPr>
          <w:rFonts w:ascii="Times New Roman" w:hAnsi="Times New Roman" w:cs="Times New Roman"/>
          <w:sz w:val="24"/>
          <w:szCs w:val="24"/>
        </w:rPr>
        <w:t xml:space="preserve">coordinado desde el Ministerio del Interior, </w:t>
      </w:r>
      <w:r w:rsidR="00A95852" w:rsidRPr="00E01D72">
        <w:rPr>
          <w:rFonts w:ascii="Times New Roman" w:hAnsi="Times New Roman" w:cs="Times New Roman"/>
          <w:sz w:val="24"/>
          <w:szCs w:val="24"/>
        </w:rPr>
        <w:t>cuyo</w:t>
      </w:r>
      <w:r w:rsidRPr="00E01D72">
        <w:rPr>
          <w:rFonts w:ascii="Times New Roman" w:hAnsi="Times New Roman" w:cs="Times New Roman"/>
          <w:sz w:val="24"/>
          <w:szCs w:val="24"/>
        </w:rPr>
        <w:t xml:space="preserve"> objetivo estratégico es garantizar la adecuada protección, asistencia y recuperación de las víctimas de trata y explotación de seres humanos</w:t>
      </w:r>
      <w:r w:rsidR="00A95852" w:rsidRPr="00E01D72">
        <w:rPr>
          <w:rFonts w:ascii="Times New Roman" w:hAnsi="Times New Roman" w:cs="Times New Roman"/>
          <w:sz w:val="24"/>
          <w:szCs w:val="24"/>
        </w:rPr>
        <w:t xml:space="preserve">; el </w:t>
      </w:r>
      <w:r w:rsidRPr="00E01D72">
        <w:rPr>
          <w:rFonts w:ascii="Times New Roman" w:hAnsi="Times New Roman" w:cs="Times New Roman"/>
          <w:i/>
          <w:sz w:val="24"/>
          <w:szCs w:val="24"/>
        </w:rPr>
        <w:t>Plan Operativo para la Protección de los Derechos Humanos de Mujeres y Niñas víctimas de trata, explotación sexual y mujeres en contextos de prostitución (Plan Camino 2022-2026)</w:t>
      </w:r>
      <w:r w:rsidR="00A95852" w:rsidRPr="00E01D72">
        <w:rPr>
          <w:rFonts w:ascii="Times New Roman" w:hAnsi="Times New Roman" w:cs="Times New Roman"/>
          <w:sz w:val="24"/>
          <w:szCs w:val="24"/>
        </w:rPr>
        <w:t xml:space="preserve"> que </w:t>
      </w:r>
      <w:r w:rsidRPr="00E01D72">
        <w:rPr>
          <w:rFonts w:ascii="Times New Roman" w:hAnsi="Times New Roman" w:cs="Times New Roman"/>
          <w:sz w:val="24"/>
          <w:szCs w:val="24"/>
        </w:rPr>
        <w:t>contempla todos los aspectos relacionados con la garantía y ejercicio efectivos los derechos de las víctimas de trata y explotación sexual y para mujeres en contextos de prostitución, incluid</w:t>
      </w:r>
      <w:r w:rsidR="00A95852" w:rsidRPr="00E01D72">
        <w:rPr>
          <w:rFonts w:ascii="Times New Roman" w:hAnsi="Times New Roman" w:cs="Times New Roman"/>
          <w:sz w:val="24"/>
          <w:szCs w:val="24"/>
        </w:rPr>
        <w:t xml:space="preserve">a la inserción social y laboral; el </w:t>
      </w:r>
      <w:r w:rsidRPr="00E01D72">
        <w:rPr>
          <w:rFonts w:ascii="Times New Roman" w:hAnsi="Times New Roman" w:cs="Times New Roman"/>
          <w:i/>
          <w:sz w:val="24"/>
          <w:szCs w:val="24"/>
        </w:rPr>
        <w:t xml:space="preserve">I Plan de inserción </w:t>
      </w:r>
      <w:r w:rsidR="007B681B" w:rsidRPr="00E01D72">
        <w:rPr>
          <w:rFonts w:ascii="Times New Roman" w:hAnsi="Times New Roman" w:cs="Times New Roman"/>
          <w:i/>
          <w:sz w:val="24"/>
          <w:szCs w:val="24"/>
        </w:rPr>
        <w:t>socio laboral</w:t>
      </w:r>
      <w:r w:rsidRPr="00E01D72">
        <w:rPr>
          <w:rFonts w:ascii="Times New Roman" w:hAnsi="Times New Roman" w:cs="Times New Roman"/>
          <w:i/>
          <w:sz w:val="24"/>
          <w:szCs w:val="24"/>
        </w:rPr>
        <w:t xml:space="preserve"> para mujeres y niñas víctimas de trata, de explotación sexual y para mujeres en situación de prostitución</w:t>
      </w:r>
      <w:r w:rsidR="00A95852" w:rsidRPr="00E01D72">
        <w:rPr>
          <w:rFonts w:ascii="Times New Roman" w:hAnsi="Times New Roman" w:cs="Times New Roman"/>
          <w:sz w:val="24"/>
          <w:szCs w:val="24"/>
        </w:rPr>
        <w:t xml:space="preserve"> que </w:t>
      </w:r>
      <w:r w:rsidRPr="00E01D72">
        <w:rPr>
          <w:rFonts w:ascii="Times New Roman" w:hAnsi="Times New Roman" w:cs="Times New Roman"/>
          <w:sz w:val="24"/>
          <w:szCs w:val="24"/>
        </w:rPr>
        <w:t>pretende reforzar la autonomía económica y habitacional de las víctimas, facilitando el acceso al empleo regulado, a la vivienda, a la atención social y sanitaria y a su recuperación integral fr</w:t>
      </w:r>
      <w:r w:rsidR="00A95852" w:rsidRPr="00E01D72">
        <w:rPr>
          <w:rFonts w:ascii="Times New Roman" w:hAnsi="Times New Roman" w:cs="Times New Roman"/>
          <w:sz w:val="24"/>
          <w:szCs w:val="24"/>
        </w:rPr>
        <w:t xml:space="preserve">ente a los derechos vulnerados; el </w:t>
      </w:r>
      <w:r w:rsidRPr="00E01D72">
        <w:rPr>
          <w:rFonts w:ascii="Times New Roman" w:hAnsi="Times New Roman" w:cs="Times New Roman"/>
          <w:i/>
          <w:sz w:val="24"/>
          <w:szCs w:val="24"/>
        </w:rPr>
        <w:t>Plan de acción contra la explotación sexual de niños, niñas y adolescentes del Sistema de Protección a la Infancia</w:t>
      </w:r>
      <w:r w:rsidR="00A95852" w:rsidRPr="00E01D72">
        <w:rPr>
          <w:rFonts w:ascii="Times New Roman" w:hAnsi="Times New Roman" w:cs="Times New Roman"/>
          <w:sz w:val="24"/>
          <w:szCs w:val="24"/>
        </w:rPr>
        <w:t xml:space="preserve">, de </w:t>
      </w:r>
      <w:r w:rsidRPr="00E01D72">
        <w:rPr>
          <w:rFonts w:ascii="Times New Roman" w:hAnsi="Times New Roman" w:cs="Times New Roman"/>
          <w:sz w:val="24"/>
          <w:szCs w:val="24"/>
        </w:rPr>
        <w:t xml:space="preserve">mayo de 2022, </w:t>
      </w:r>
      <w:r w:rsidR="00A95852" w:rsidRPr="00E01D72">
        <w:rPr>
          <w:rFonts w:ascii="Times New Roman" w:hAnsi="Times New Roman" w:cs="Times New Roman"/>
          <w:sz w:val="24"/>
          <w:szCs w:val="24"/>
        </w:rPr>
        <w:t xml:space="preserve">que </w:t>
      </w:r>
      <w:r w:rsidRPr="00E01D72">
        <w:rPr>
          <w:rFonts w:ascii="Times New Roman" w:hAnsi="Times New Roman" w:cs="Times New Roman"/>
          <w:sz w:val="24"/>
          <w:szCs w:val="24"/>
        </w:rPr>
        <w:t>incluye el desarrollo de acciones de formación especializada, el refuerzo de medidas de detección y actuación en el sistema de tutela y el impulso de medidas concretas para la atención y la recuperación integral especializada.</w:t>
      </w:r>
    </w:p>
    <w:p w14:paraId="767B7F7F" w14:textId="77777777" w:rsidR="00934292" w:rsidRPr="00E01D72" w:rsidRDefault="00934292" w:rsidP="00934292">
      <w:pPr>
        <w:spacing w:before="120" w:after="120"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El Anteproyecto de Ley Orgánica Integral contra la trata y </w:t>
      </w:r>
      <w:r w:rsidR="004F4F1A">
        <w:rPr>
          <w:rFonts w:ascii="Times New Roman" w:hAnsi="Times New Roman" w:cs="Times New Roman"/>
          <w:sz w:val="24"/>
          <w:szCs w:val="24"/>
        </w:rPr>
        <w:t xml:space="preserve">la explotación de seres humanos, </w:t>
      </w:r>
      <w:r>
        <w:rPr>
          <w:rFonts w:ascii="Times New Roman" w:hAnsi="Times New Roman" w:cs="Times New Roman"/>
          <w:sz w:val="24"/>
          <w:szCs w:val="24"/>
        </w:rPr>
        <w:t>adoptado por el Consejo de Minist</w:t>
      </w:r>
      <w:r w:rsidR="004F4F1A">
        <w:rPr>
          <w:rFonts w:ascii="Times New Roman" w:hAnsi="Times New Roman" w:cs="Times New Roman"/>
          <w:sz w:val="24"/>
          <w:szCs w:val="24"/>
        </w:rPr>
        <w:t xml:space="preserve">ros el 29 de noviembre de 2022, es una </w:t>
      </w:r>
      <w:r>
        <w:rPr>
          <w:rFonts w:ascii="Times New Roman" w:hAnsi="Times New Roman" w:cs="Times New Roman"/>
          <w:sz w:val="24"/>
          <w:szCs w:val="24"/>
        </w:rPr>
        <w:t xml:space="preserve">norma </w:t>
      </w:r>
      <w:r w:rsidR="004F4F1A">
        <w:rPr>
          <w:rFonts w:ascii="Times New Roman" w:hAnsi="Times New Roman" w:cs="Times New Roman"/>
          <w:sz w:val="24"/>
          <w:szCs w:val="24"/>
        </w:rPr>
        <w:t xml:space="preserve">que </w:t>
      </w:r>
      <w:r>
        <w:rPr>
          <w:rFonts w:ascii="Times New Roman" w:hAnsi="Times New Roman" w:cs="Times New Roman"/>
          <w:sz w:val="24"/>
          <w:szCs w:val="24"/>
        </w:rPr>
        <w:t>prevé un sistema integral de identificación y atención de las víctimas de trata en cualquiera de sus modalidades e incide en la asistencia y protección a las víctimas, a las que se garantiza toda una serie d</w:t>
      </w:r>
      <w:r w:rsidR="005F4EB1">
        <w:rPr>
          <w:rFonts w:ascii="Times New Roman" w:hAnsi="Times New Roman" w:cs="Times New Roman"/>
          <w:sz w:val="24"/>
          <w:szCs w:val="24"/>
        </w:rPr>
        <w:t>e derechos y medidas de apoyo. C</w:t>
      </w:r>
      <w:r>
        <w:rPr>
          <w:rFonts w:ascii="Times New Roman" w:hAnsi="Times New Roman" w:cs="Times New Roman"/>
          <w:sz w:val="24"/>
          <w:szCs w:val="24"/>
        </w:rPr>
        <w:t xml:space="preserve">rea el Mecanismo Nacional de Derivación (MND) como órgano encargado de la inmediata derivación de las presuntas víctimas de trata </w:t>
      </w:r>
      <w:r w:rsidR="005F4EB1">
        <w:rPr>
          <w:rFonts w:ascii="Times New Roman" w:hAnsi="Times New Roman" w:cs="Times New Roman"/>
          <w:sz w:val="24"/>
          <w:szCs w:val="24"/>
        </w:rPr>
        <w:t xml:space="preserve">a los servicios especializados, </w:t>
      </w:r>
      <w:r>
        <w:rPr>
          <w:rFonts w:ascii="Times New Roman" w:hAnsi="Times New Roman" w:cs="Times New Roman"/>
          <w:sz w:val="24"/>
          <w:szCs w:val="24"/>
        </w:rPr>
        <w:t>adscrito a una Relatoría Nacional sobre Trata y Explotación de Seres Humanos, dependiente del Ministerio del Interior, que supervisará todas las políticas públicas en materia de trata y explotación y desempeñará el papel de coordinador nacional a los efectos de representación de España en el ámbito internacional.</w:t>
      </w:r>
    </w:p>
    <w:p w14:paraId="7AD71CCD" w14:textId="77777777" w:rsidR="000610F4" w:rsidRPr="00BD51E7" w:rsidRDefault="000610F4" w:rsidP="00E01D72">
      <w:pPr>
        <w:spacing w:before="120" w:after="120" w:line="276" w:lineRule="auto"/>
        <w:ind w:firstLine="708"/>
        <w:jc w:val="both"/>
        <w:rPr>
          <w:rFonts w:ascii="Times New Roman" w:hAnsi="Times New Roman" w:cs="Times New Roman"/>
          <w:sz w:val="12"/>
          <w:szCs w:val="12"/>
        </w:rPr>
      </w:pPr>
    </w:p>
    <w:p w14:paraId="2978D371" w14:textId="77777777" w:rsidR="00951206" w:rsidRPr="00E01D72" w:rsidRDefault="00951206" w:rsidP="00E01D72">
      <w:pPr>
        <w:spacing w:before="120" w:after="120" w:line="276" w:lineRule="auto"/>
        <w:ind w:firstLine="708"/>
        <w:jc w:val="both"/>
        <w:rPr>
          <w:rFonts w:ascii="Times New Roman" w:hAnsi="Times New Roman" w:cs="Times New Roman"/>
          <w:sz w:val="24"/>
          <w:szCs w:val="24"/>
        </w:rPr>
      </w:pPr>
      <w:r w:rsidRPr="00E01D72">
        <w:rPr>
          <w:rFonts w:ascii="Times New Roman" w:hAnsi="Times New Roman" w:cs="Times New Roman"/>
          <w:sz w:val="24"/>
          <w:szCs w:val="24"/>
        </w:rPr>
        <w:t>El 27 de mayo de 2022 el Pleno de la Conferencia Sectorial de Igualdad aprobó la distribución de un crédito extraordinario de 800.000€ para la formación especializada de profesionales en materia de prevención y detección de la</w:t>
      </w:r>
      <w:r w:rsidR="00535FD2" w:rsidRPr="00E01D72">
        <w:rPr>
          <w:rFonts w:ascii="Times New Roman" w:hAnsi="Times New Roman" w:cs="Times New Roman"/>
          <w:sz w:val="24"/>
          <w:szCs w:val="24"/>
        </w:rPr>
        <w:t xml:space="preserve"> explotación sexual en menores</w:t>
      </w:r>
      <w:r w:rsidR="00535FD2" w:rsidRPr="00E01D72">
        <w:rPr>
          <w:rStyle w:val="FootnoteReference"/>
          <w:rFonts w:ascii="Times New Roman" w:hAnsi="Times New Roman" w:cs="Times New Roman"/>
          <w:sz w:val="24"/>
          <w:szCs w:val="24"/>
        </w:rPr>
        <w:footnoteReference w:id="8"/>
      </w:r>
      <w:r w:rsidRPr="00E01D72">
        <w:rPr>
          <w:rFonts w:ascii="Times New Roman" w:hAnsi="Times New Roman" w:cs="Times New Roman"/>
          <w:sz w:val="24"/>
          <w:szCs w:val="24"/>
        </w:rPr>
        <w:t xml:space="preserve">. Se ha elaborado una guía específica destinada a profesionales que trabajan en centros tutelados para la prevención de la trata y la explotación sexual, en colaboración con la Fundació Bosch i Gimpera, que se publicará en la web de la DGVG en 2023 </w:t>
      </w:r>
      <w:r w:rsidR="000610F4" w:rsidRPr="00E01D72">
        <w:rPr>
          <w:rFonts w:ascii="Times New Roman" w:hAnsi="Times New Roman" w:cs="Times New Roman"/>
          <w:sz w:val="24"/>
          <w:szCs w:val="24"/>
        </w:rPr>
        <w:t>con el título: “</w:t>
      </w:r>
      <w:r w:rsidRPr="00E01D72">
        <w:rPr>
          <w:rFonts w:ascii="Times New Roman" w:hAnsi="Times New Roman" w:cs="Times New Roman"/>
          <w:i/>
          <w:sz w:val="24"/>
          <w:szCs w:val="24"/>
        </w:rPr>
        <w:t xml:space="preserve">Guía común de actuación para la detección, notificación y derivación de casos de explotación sexual contra la infancia en centros residenciales, con especial </w:t>
      </w:r>
      <w:r w:rsidR="000610F4" w:rsidRPr="00E01D72">
        <w:rPr>
          <w:rFonts w:ascii="Times New Roman" w:hAnsi="Times New Roman" w:cs="Times New Roman"/>
          <w:i/>
          <w:sz w:val="24"/>
          <w:szCs w:val="24"/>
        </w:rPr>
        <w:t>atención a niñas y adolescentes”</w:t>
      </w:r>
      <w:r w:rsidRPr="00E01D72">
        <w:rPr>
          <w:rFonts w:ascii="Times New Roman" w:hAnsi="Times New Roman" w:cs="Times New Roman"/>
          <w:sz w:val="24"/>
          <w:szCs w:val="24"/>
        </w:rPr>
        <w:t>.</w:t>
      </w:r>
    </w:p>
    <w:p w14:paraId="1B547058" w14:textId="77777777" w:rsidR="00C42C56" w:rsidRPr="00BD51E7" w:rsidRDefault="00C42C56" w:rsidP="00E01D72">
      <w:pPr>
        <w:spacing w:before="120" w:after="120" w:line="276" w:lineRule="auto"/>
        <w:ind w:firstLine="708"/>
        <w:jc w:val="both"/>
        <w:rPr>
          <w:rFonts w:ascii="Times New Roman" w:hAnsi="Times New Roman" w:cs="Times New Roman"/>
          <w:sz w:val="12"/>
          <w:szCs w:val="12"/>
        </w:rPr>
      </w:pPr>
    </w:p>
    <w:p w14:paraId="11668EBA" w14:textId="77777777" w:rsidR="00E46932" w:rsidRPr="00E01D72" w:rsidRDefault="00951206" w:rsidP="00E01D72">
      <w:pPr>
        <w:spacing w:before="120" w:after="120" w:line="276" w:lineRule="auto"/>
        <w:ind w:firstLine="708"/>
        <w:jc w:val="both"/>
        <w:rPr>
          <w:rFonts w:ascii="Times New Roman" w:hAnsi="Times New Roman" w:cs="Times New Roman"/>
          <w:sz w:val="24"/>
          <w:szCs w:val="24"/>
        </w:rPr>
      </w:pPr>
      <w:r w:rsidRPr="00E01D72">
        <w:rPr>
          <w:rFonts w:ascii="Times New Roman" w:hAnsi="Times New Roman" w:cs="Times New Roman"/>
          <w:sz w:val="24"/>
          <w:szCs w:val="24"/>
        </w:rPr>
        <w:lastRenderedPageBreak/>
        <w:t>En concreto, entre las medidas adoptadas para la identificación de las víctimas, cabe destacar la</w:t>
      </w:r>
      <w:r w:rsidR="00AF676F" w:rsidRPr="00E01D72">
        <w:rPr>
          <w:rFonts w:ascii="Times New Roman" w:hAnsi="Times New Roman" w:cs="Times New Roman"/>
          <w:b/>
          <w:i/>
          <w:sz w:val="24"/>
          <w:szCs w:val="24"/>
        </w:rPr>
        <w:t xml:space="preserve"> </w:t>
      </w:r>
      <w:r w:rsidR="00AF676F" w:rsidRPr="00E01D72">
        <w:rPr>
          <w:rFonts w:ascii="Times New Roman" w:hAnsi="Times New Roman" w:cs="Times New Roman"/>
          <w:sz w:val="24"/>
          <w:szCs w:val="24"/>
        </w:rPr>
        <w:t>publicación d</w:t>
      </w:r>
      <w:r w:rsidRPr="00E01D72">
        <w:rPr>
          <w:rFonts w:ascii="Times New Roman" w:hAnsi="Times New Roman" w:cs="Times New Roman"/>
          <w:sz w:val="24"/>
          <w:szCs w:val="24"/>
        </w:rPr>
        <w:t>el Acuerdo de la Conferencia Sectorial de Igualdad de 27 de mayo de 2022, relativo a la acreditación administrativa de la condición de víctima de trata de seres humanos y/o explotación sexual</w:t>
      </w:r>
      <w:r w:rsidR="00AF676F" w:rsidRPr="00E01D72">
        <w:rPr>
          <w:rStyle w:val="FootnoteReference"/>
          <w:rFonts w:ascii="Times New Roman" w:hAnsi="Times New Roman" w:cs="Times New Roman"/>
          <w:sz w:val="24"/>
          <w:szCs w:val="24"/>
        </w:rPr>
        <w:footnoteReference w:id="9"/>
      </w:r>
      <w:r w:rsidRPr="00E01D72">
        <w:rPr>
          <w:rFonts w:ascii="Times New Roman" w:hAnsi="Times New Roman" w:cs="Times New Roman"/>
          <w:sz w:val="24"/>
          <w:szCs w:val="24"/>
        </w:rPr>
        <w:t xml:space="preserve">. </w:t>
      </w:r>
      <w:r w:rsidR="00BC6748" w:rsidRPr="00E01D72">
        <w:rPr>
          <w:rFonts w:ascii="Times New Roman" w:hAnsi="Times New Roman" w:cs="Times New Roman"/>
          <w:sz w:val="24"/>
          <w:szCs w:val="24"/>
        </w:rPr>
        <w:t>T</w:t>
      </w:r>
      <w:r w:rsidRPr="00E01D72">
        <w:rPr>
          <w:rFonts w:ascii="Times New Roman" w:hAnsi="Times New Roman" w:cs="Times New Roman"/>
          <w:sz w:val="24"/>
          <w:szCs w:val="24"/>
        </w:rPr>
        <w:t xml:space="preserve">iene por objeto consensuar el procedimiento básico y unas pautas mínimas comunes para permitir la acreditación, a efectos administrativos y de carácter social de las situaciones de trata y explotación sexual, a los efectos de lo previsto en el artículo 47 del </w:t>
      </w:r>
      <w:r w:rsidRPr="00E01D72">
        <w:rPr>
          <w:rFonts w:ascii="Times New Roman" w:hAnsi="Times New Roman" w:cs="Times New Roman"/>
          <w:i/>
          <w:sz w:val="24"/>
          <w:szCs w:val="24"/>
        </w:rPr>
        <w:t>Real Decreto-ley 6/2022, de 29 de marzo, por el que se adoptan medidas urgentes en el marco del Plan Nacional de respuesta a las consecuencias económicas y sociales de la guerra en Ucrania</w:t>
      </w:r>
      <w:r w:rsidRPr="00E01D72">
        <w:rPr>
          <w:rFonts w:ascii="Times New Roman" w:hAnsi="Times New Roman" w:cs="Times New Roman"/>
          <w:sz w:val="24"/>
          <w:szCs w:val="24"/>
        </w:rPr>
        <w:t xml:space="preserve">. </w:t>
      </w:r>
    </w:p>
    <w:p w14:paraId="267E363C" w14:textId="77777777" w:rsidR="00E02118" w:rsidRPr="00E01D72" w:rsidRDefault="00E02118" w:rsidP="00E01D72">
      <w:pPr>
        <w:spacing w:before="120" w:after="120" w:line="276" w:lineRule="auto"/>
        <w:jc w:val="both"/>
        <w:rPr>
          <w:rFonts w:ascii="Times New Roman" w:hAnsi="Times New Roman" w:cs="Times New Roman"/>
          <w:sz w:val="24"/>
          <w:szCs w:val="24"/>
        </w:rPr>
      </w:pPr>
    </w:p>
    <w:p w14:paraId="52F36C45" w14:textId="77777777" w:rsidR="00E46932" w:rsidRPr="00E01D72" w:rsidRDefault="00E46932" w:rsidP="00E01D72">
      <w:pPr>
        <w:spacing w:before="120" w:after="120" w:line="276" w:lineRule="auto"/>
        <w:jc w:val="both"/>
        <w:rPr>
          <w:rFonts w:ascii="Times New Roman" w:hAnsi="Times New Roman" w:cs="Times New Roman"/>
          <w:sz w:val="24"/>
          <w:szCs w:val="24"/>
          <w:u w:val="single"/>
        </w:rPr>
      </w:pPr>
      <w:r w:rsidRPr="00E01D72">
        <w:rPr>
          <w:rFonts w:ascii="Times New Roman" w:hAnsi="Times New Roman" w:cs="Times New Roman"/>
          <w:sz w:val="24"/>
          <w:szCs w:val="24"/>
          <w:u w:val="single"/>
        </w:rPr>
        <w:t>Medidas para el acceso de las víctimas a medios de reparación efectivos</w:t>
      </w:r>
    </w:p>
    <w:p w14:paraId="5F8D700D" w14:textId="77777777" w:rsidR="00951206" w:rsidRDefault="00E46932" w:rsidP="00E01D72">
      <w:pPr>
        <w:spacing w:before="120" w:after="120" w:line="276" w:lineRule="auto"/>
        <w:ind w:firstLine="708"/>
        <w:jc w:val="both"/>
        <w:rPr>
          <w:rFonts w:ascii="Times New Roman" w:hAnsi="Times New Roman" w:cs="Times New Roman"/>
          <w:sz w:val="24"/>
          <w:szCs w:val="24"/>
        </w:rPr>
      </w:pPr>
      <w:r w:rsidRPr="00E01D72">
        <w:rPr>
          <w:rFonts w:ascii="Times New Roman" w:hAnsi="Times New Roman" w:cs="Times New Roman"/>
          <w:sz w:val="24"/>
          <w:szCs w:val="24"/>
        </w:rPr>
        <w:t>S</w:t>
      </w:r>
      <w:r w:rsidR="00951206" w:rsidRPr="00E01D72">
        <w:rPr>
          <w:rFonts w:ascii="Times New Roman" w:hAnsi="Times New Roman" w:cs="Times New Roman"/>
          <w:sz w:val="24"/>
          <w:szCs w:val="24"/>
        </w:rPr>
        <w:t>e ha adaptado el servicio 016 para todas las formas de violencia contra las mujeres por razón de género, a las mujeres en situación de acogida temporal y a las víctimas de trata y/o explotación sexual. Por su parte, está prevista la ampliación del servicio ATENPRO</w:t>
      </w:r>
      <w:r w:rsidRPr="00E01D72">
        <w:rPr>
          <w:rFonts w:ascii="Times New Roman" w:hAnsi="Times New Roman" w:cs="Times New Roman"/>
          <w:sz w:val="24"/>
          <w:szCs w:val="24"/>
        </w:rPr>
        <w:t xml:space="preserve">, </w:t>
      </w:r>
      <w:r w:rsidR="00951206" w:rsidRPr="00E01D72">
        <w:rPr>
          <w:rFonts w:ascii="Times New Roman" w:hAnsi="Times New Roman" w:cs="Times New Roman"/>
          <w:sz w:val="24"/>
          <w:szCs w:val="24"/>
        </w:rPr>
        <w:t xml:space="preserve">de atención, seguridad y protección para las </w:t>
      </w:r>
      <w:r w:rsidRPr="00E01D72">
        <w:rPr>
          <w:rFonts w:ascii="Times New Roman" w:hAnsi="Times New Roman" w:cs="Times New Roman"/>
          <w:sz w:val="24"/>
          <w:szCs w:val="24"/>
        </w:rPr>
        <w:t>víctimas de violencia de género,</w:t>
      </w:r>
      <w:r w:rsidR="00951206" w:rsidRPr="00E01D72">
        <w:rPr>
          <w:rFonts w:ascii="Times New Roman" w:hAnsi="Times New Roman" w:cs="Times New Roman"/>
          <w:sz w:val="24"/>
          <w:szCs w:val="24"/>
        </w:rPr>
        <w:t xml:space="preserve"> a las víctimas de trata y explotación sexual, así como para cualquier mujer en contextos de prostitución que precisen información o asistencia por violencia sexual, entre 2023 y 2024.</w:t>
      </w:r>
      <w:r w:rsidRPr="00E01D72">
        <w:rPr>
          <w:rFonts w:ascii="Times New Roman" w:hAnsi="Times New Roman" w:cs="Times New Roman"/>
          <w:sz w:val="24"/>
          <w:szCs w:val="24"/>
        </w:rPr>
        <w:t xml:space="preserve"> Además, p</w:t>
      </w:r>
      <w:r w:rsidR="00951206" w:rsidRPr="00E01D72">
        <w:rPr>
          <w:rFonts w:ascii="Times New Roman" w:hAnsi="Times New Roman" w:cs="Times New Roman"/>
          <w:sz w:val="24"/>
          <w:szCs w:val="24"/>
        </w:rPr>
        <w:t>ara garantizar el acceso a medidas de atención integral, la labor de entidades y organizaciones no lucrativas especializadas en la atención a víctimas de trata con FES se considera esencial. Por ello, la DGVG fin</w:t>
      </w:r>
      <w:r w:rsidR="004D320B" w:rsidRPr="00E01D72">
        <w:rPr>
          <w:rFonts w:ascii="Times New Roman" w:hAnsi="Times New Roman" w:cs="Times New Roman"/>
          <w:sz w:val="24"/>
          <w:szCs w:val="24"/>
        </w:rPr>
        <w:t>ancia proyectos en esta materia.</w:t>
      </w:r>
    </w:p>
    <w:p w14:paraId="50108C85" w14:textId="77777777" w:rsidR="006F7B4F" w:rsidRPr="00E01D72" w:rsidRDefault="006F7B4F" w:rsidP="006F7B4F">
      <w:pPr>
        <w:spacing w:before="120" w:after="120" w:line="276" w:lineRule="auto"/>
        <w:jc w:val="both"/>
        <w:rPr>
          <w:rFonts w:ascii="Times New Roman" w:hAnsi="Times New Roman" w:cs="Times New Roman"/>
          <w:sz w:val="24"/>
          <w:szCs w:val="24"/>
        </w:rPr>
      </w:pPr>
    </w:p>
    <w:p w14:paraId="25EBB671" w14:textId="77777777" w:rsidR="00487BB5" w:rsidRPr="007573E5" w:rsidRDefault="000B67D1" w:rsidP="00E01D72">
      <w:pPr>
        <w:spacing w:line="276" w:lineRule="auto"/>
        <w:jc w:val="both"/>
        <w:rPr>
          <w:rFonts w:ascii="Times New Roman" w:hAnsi="Times New Roman" w:cs="Times New Roman"/>
          <w:b/>
          <w:sz w:val="28"/>
          <w:szCs w:val="24"/>
        </w:rPr>
      </w:pPr>
      <w:r>
        <w:rPr>
          <w:rFonts w:ascii="Times New Roman" w:hAnsi="Times New Roman" w:cs="Times New Roman"/>
          <w:b/>
          <w:sz w:val="28"/>
          <w:szCs w:val="24"/>
        </w:rPr>
        <w:t>Artículos 5 a 9</w:t>
      </w:r>
    </w:p>
    <w:p w14:paraId="5EC2C4A5" w14:textId="77777777" w:rsidR="000B67D1" w:rsidRPr="00E01D72" w:rsidRDefault="000B67D1" w:rsidP="000B67D1">
      <w:pPr>
        <w:spacing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Respuesta al párrafo 14 de la lista de cuestiones </w:t>
      </w:r>
    </w:p>
    <w:p w14:paraId="70FEE599" w14:textId="77777777" w:rsidR="00E01D72" w:rsidRDefault="00487BB5" w:rsidP="008B5605">
      <w:pPr>
        <w:spacing w:line="276" w:lineRule="auto"/>
        <w:ind w:firstLine="708"/>
        <w:jc w:val="both"/>
        <w:rPr>
          <w:rFonts w:ascii="Times New Roman" w:hAnsi="Times New Roman" w:cs="Times New Roman"/>
          <w:sz w:val="24"/>
          <w:szCs w:val="24"/>
        </w:rPr>
      </w:pPr>
      <w:r w:rsidRPr="00E01D72">
        <w:rPr>
          <w:rFonts w:ascii="Times New Roman" w:hAnsi="Times New Roman" w:cs="Times New Roman"/>
          <w:sz w:val="24"/>
          <w:szCs w:val="24"/>
        </w:rPr>
        <w:t>España ha suscrito tratados de extradición con un total de 40 Estados, a diferencia de los 39 que figuran en el informe presentado en 2019. Se añade el acuerdo entre el Reino de España y la República de Albania, complementario del Convenio Europeo de Extradición de 1957, hecho en Madrid el 4 de octubre de 2021</w:t>
      </w:r>
      <w:r w:rsidRPr="00E01D72">
        <w:rPr>
          <w:rStyle w:val="FootnoteReference"/>
          <w:rFonts w:ascii="Times New Roman" w:hAnsi="Times New Roman" w:cs="Times New Roman"/>
          <w:sz w:val="24"/>
          <w:szCs w:val="24"/>
        </w:rPr>
        <w:footnoteReference w:id="10"/>
      </w:r>
      <w:r w:rsidR="001F40D1" w:rsidRPr="00E01D72">
        <w:rPr>
          <w:rFonts w:ascii="Times New Roman" w:hAnsi="Times New Roman" w:cs="Times New Roman"/>
          <w:sz w:val="24"/>
          <w:szCs w:val="24"/>
        </w:rPr>
        <w:t xml:space="preserve">. </w:t>
      </w:r>
    </w:p>
    <w:p w14:paraId="7DBB21DA" w14:textId="77777777" w:rsidR="008B5605" w:rsidRPr="00BD51E7" w:rsidRDefault="008B5605" w:rsidP="008B5605">
      <w:pPr>
        <w:spacing w:line="276" w:lineRule="auto"/>
        <w:ind w:firstLine="708"/>
        <w:jc w:val="both"/>
        <w:rPr>
          <w:rFonts w:ascii="Times New Roman" w:hAnsi="Times New Roman" w:cs="Times New Roman"/>
          <w:sz w:val="10"/>
          <w:szCs w:val="10"/>
        </w:rPr>
      </w:pPr>
    </w:p>
    <w:p w14:paraId="0F0EB164" w14:textId="77777777" w:rsidR="000B67D1" w:rsidRPr="00E01D72" w:rsidRDefault="000B67D1" w:rsidP="000B67D1">
      <w:pPr>
        <w:spacing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Respuesta al párrafo 16 de la lista de cuestiones </w:t>
      </w:r>
    </w:p>
    <w:p w14:paraId="41B81348" w14:textId="77777777" w:rsidR="006E0C5E" w:rsidRPr="00E01D72" w:rsidRDefault="00791871" w:rsidP="00E01D72">
      <w:pPr>
        <w:spacing w:line="276" w:lineRule="auto"/>
        <w:ind w:firstLine="708"/>
        <w:jc w:val="both"/>
        <w:rPr>
          <w:rFonts w:ascii="Times New Roman" w:hAnsi="Times New Roman" w:cs="Times New Roman"/>
          <w:sz w:val="24"/>
          <w:szCs w:val="24"/>
        </w:rPr>
      </w:pPr>
      <w:r w:rsidRPr="00E01D72">
        <w:rPr>
          <w:rFonts w:ascii="Times New Roman" w:hAnsi="Times New Roman" w:cs="Times New Roman"/>
          <w:sz w:val="24"/>
          <w:szCs w:val="24"/>
        </w:rPr>
        <w:t xml:space="preserve">En materia de medidas legislativas para que los actos de tortura, incluyendo desapariciones forzadas, no estén sujetos a amnistía o prescripción, y las víctimas tengan acceso a mecanismos de reparación y rehabilitación adecuados, es relevante mencionar la Ley 20/2022, de 19 de octubre, de Memoria Democrática. Esta Ley establece procedimientos para garantizar la verdad a las víctimas a través de investigaciones oficiales dirigidas por un órgano especializado de la Fiscalía, la creación de un nuevo </w:t>
      </w:r>
      <w:r w:rsidRPr="00E01D72">
        <w:rPr>
          <w:rFonts w:ascii="Times New Roman" w:hAnsi="Times New Roman" w:cs="Times New Roman"/>
          <w:sz w:val="24"/>
          <w:szCs w:val="24"/>
        </w:rPr>
        <w:lastRenderedPageBreak/>
        <w:t xml:space="preserve">procedimiento jurisdiccional para fijar determinados hechos, y la inclusión de las víctimas de violaciones de derechos humanos del pasado en el Estatuto de la víctima del delito. </w:t>
      </w:r>
    </w:p>
    <w:p w14:paraId="4DC895B6" w14:textId="77777777" w:rsidR="00BD51E7" w:rsidRDefault="00BD51E7" w:rsidP="00E01D72">
      <w:pPr>
        <w:spacing w:line="276" w:lineRule="auto"/>
        <w:jc w:val="both"/>
        <w:rPr>
          <w:rFonts w:ascii="Times New Roman" w:hAnsi="Times New Roman" w:cs="Times New Roman"/>
          <w:b/>
          <w:sz w:val="24"/>
          <w:szCs w:val="24"/>
        </w:rPr>
      </w:pPr>
    </w:p>
    <w:p w14:paraId="232437D1" w14:textId="77777777" w:rsidR="00D90CF3" w:rsidRPr="005E6BCE" w:rsidRDefault="00E23DD7" w:rsidP="00E01D72">
      <w:pPr>
        <w:spacing w:line="276" w:lineRule="auto"/>
        <w:jc w:val="both"/>
        <w:rPr>
          <w:rFonts w:ascii="Times New Roman" w:hAnsi="Times New Roman" w:cs="Times New Roman"/>
          <w:b/>
          <w:sz w:val="28"/>
          <w:szCs w:val="24"/>
        </w:rPr>
      </w:pPr>
      <w:r>
        <w:rPr>
          <w:rFonts w:ascii="Times New Roman" w:hAnsi="Times New Roman" w:cs="Times New Roman"/>
          <w:b/>
          <w:sz w:val="28"/>
          <w:szCs w:val="24"/>
        </w:rPr>
        <w:t>Artículo 10</w:t>
      </w:r>
    </w:p>
    <w:p w14:paraId="3F7E1874" w14:textId="77777777" w:rsidR="00E23DD7" w:rsidRPr="00E01D72" w:rsidRDefault="00E23DD7" w:rsidP="00E23DD7">
      <w:pPr>
        <w:spacing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Respuesta al párrafo 17 de la lista de cuestiones </w:t>
      </w:r>
    </w:p>
    <w:p w14:paraId="637CF793" w14:textId="77777777" w:rsidR="00BB6F81" w:rsidRPr="00E01D72" w:rsidRDefault="00945ACB" w:rsidP="00E01D72">
      <w:pPr>
        <w:spacing w:before="100" w:beforeAutospacing="1" w:after="100" w:afterAutospacing="1" w:line="276" w:lineRule="auto"/>
        <w:ind w:firstLine="708"/>
        <w:jc w:val="both"/>
        <w:rPr>
          <w:rFonts w:ascii="Times New Roman" w:eastAsia="Calibri" w:hAnsi="Times New Roman" w:cs="Times New Roman"/>
          <w:sz w:val="24"/>
          <w:szCs w:val="24"/>
          <w:lang w:eastAsia="es-ES"/>
        </w:rPr>
      </w:pPr>
      <w:r w:rsidRPr="00E01D72">
        <w:rPr>
          <w:rFonts w:ascii="Times New Roman" w:eastAsia="Times New Roman" w:hAnsi="Times New Roman" w:cs="Times New Roman"/>
          <w:sz w:val="24"/>
          <w:szCs w:val="24"/>
          <w:lang w:eastAsia="es-ES"/>
        </w:rPr>
        <w:t>L</w:t>
      </w:r>
      <w:r w:rsidR="00BB6F81" w:rsidRPr="00E01D72">
        <w:rPr>
          <w:rFonts w:ascii="Times New Roman" w:eastAsia="Times New Roman" w:hAnsi="Times New Roman" w:cs="Times New Roman"/>
          <w:sz w:val="24"/>
          <w:szCs w:val="24"/>
          <w:lang w:eastAsia="es-ES"/>
        </w:rPr>
        <w:t xml:space="preserve">a </w:t>
      </w:r>
      <w:r w:rsidRPr="00E01D72">
        <w:rPr>
          <w:rFonts w:ascii="Times New Roman" w:eastAsia="Times New Roman" w:hAnsi="Times New Roman" w:cs="Times New Roman"/>
          <w:sz w:val="24"/>
          <w:szCs w:val="24"/>
          <w:lang w:eastAsia="es-ES"/>
        </w:rPr>
        <w:t>Inspección de Personal y Servicios de Seguridad (</w:t>
      </w:r>
      <w:r w:rsidR="00EB13A9" w:rsidRPr="00E01D72">
        <w:rPr>
          <w:rFonts w:ascii="Times New Roman" w:eastAsia="Times New Roman" w:hAnsi="Times New Roman" w:cs="Times New Roman"/>
          <w:sz w:val="24"/>
          <w:szCs w:val="24"/>
          <w:lang w:eastAsia="es-ES"/>
        </w:rPr>
        <w:t xml:space="preserve">en adelante </w:t>
      </w:r>
      <w:r w:rsidR="00BB6F81" w:rsidRPr="00E01D72">
        <w:rPr>
          <w:rFonts w:ascii="Times New Roman" w:eastAsia="Times New Roman" w:hAnsi="Times New Roman" w:cs="Times New Roman"/>
          <w:sz w:val="24"/>
          <w:szCs w:val="24"/>
          <w:lang w:eastAsia="es-ES"/>
        </w:rPr>
        <w:t>IPSS</w:t>
      </w:r>
      <w:r w:rsidRPr="00E01D72">
        <w:rPr>
          <w:rFonts w:ascii="Times New Roman" w:eastAsia="Times New Roman" w:hAnsi="Times New Roman" w:cs="Times New Roman"/>
          <w:sz w:val="24"/>
          <w:szCs w:val="24"/>
          <w:lang w:eastAsia="es-ES"/>
        </w:rPr>
        <w:t>)</w:t>
      </w:r>
      <w:r w:rsidR="000E1D92" w:rsidRPr="00E01D72">
        <w:rPr>
          <w:rFonts w:ascii="Times New Roman" w:eastAsia="Times New Roman" w:hAnsi="Times New Roman" w:cs="Times New Roman"/>
          <w:sz w:val="24"/>
          <w:szCs w:val="24"/>
          <w:lang w:eastAsia="es-ES"/>
        </w:rPr>
        <w:t xml:space="preserve">, para la prevención en el ámbito de las Direcciones Generales de la Policía y de la Guardia Civil, </w:t>
      </w:r>
      <w:r w:rsidR="00BB6F81" w:rsidRPr="00E01D72">
        <w:rPr>
          <w:rFonts w:ascii="Times New Roman" w:eastAsia="Times New Roman" w:hAnsi="Times New Roman" w:cs="Times New Roman"/>
          <w:sz w:val="24"/>
          <w:szCs w:val="24"/>
          <w:lang w:eastAsia="es-ES"/>
        </w:rPr>
        <w:t xml:space="preserve">ha implantado un Sistema de Formación Continua para mantener actualizados los conocimientos de su personal, en cuyo marco se aprueban y desarrollan Planes Anuales de Formación (PAF) con diversas actividades formativas, entre cuyas materias destacan las relacionadas con la protección de los </w:t>
      </w:r>
      <w:r w:rsidR="00CF3931" w:rsidRPr="00E01D72">
        <w:rPr>
          <w:rFonts w:ascii="Times New Roman" w:eastAsia="Times New Roman" w:hAnsi="Times New Roman" w:cs="Times New Roman"/>
          <w:sz w:val="24"/>
          <w:szCs w:val="24"/>
          <w:lang w:eastAsia="es-ES"/>
        </w:rPr>
        <w:t>derechos humanos, protección internacional, custodia de detenidos, violencia de género, igualdad y protección de grupos vulnerables,</w:t>
      </w:r>
      <w:r w:rsidR="00BB6F81" w:rsidRPr="00E01D72">
        <w:rPr>
          <w:rFonts w:ascii="Times New Roman" w:eastAsia="Times New Roman" w:hAnsi="Times New Roman" w:cs="Times New Roman"/>
          <w:sz w:val="24"/>
          <w:szCs w:val="24"/>
          <w:lang w:eastAsia="es-ES"/>
        </w:rPr>
        <w:t xml:space="preserve"> durante los años 2021, 2022 y 2023. Igualmente, en la IPSS se realiza una Curso Anual de Actualización que, entre todas las materias objeto de inspección, se incluye la protección y promoción de los</w:t>
      </w:r>
      <w:r w:rsidR="00CF3931" w:rsidRPr="00E01D72">
        <w:rPr>
          <w:rFonts w:ascii="Times New Roman" w:eastAsia="Times New Roman" w:hAnsi="Times New Roman" w:cs="Times New Roman"/>
          <w:sz w:val="24"/>
          <w:szCs w:val="24"/>
          <w:lang w:eastAsia="es-ES"/>
        </w:rPr>
        <w:t xml:space="preserve"> derechos humanos</w:t>
      </w:r>
      <w:r w:rsidR="00BB6F81" w:rsidRPr="00E01D72">
        <w:rPr>
          <w:rFonts w:ascii="Times New Roman" w:eastAsia="Times New Roman" w:hAnsi="Times New Roman" w:cs="Times New Roman"/>
          <w:sz w:val="24"/>
          <w:szCs w:val="24"/>
          <w:lang w:eastAsia="es-ES"/>
        </w:rPr>
        <w:t xml:space="preserve"> por parte de las FCSE.</w:t>
      </w:r>
    </w:p>
    <w:p w14:paraId="4C32AFA6" w14:textId="77777777" w:rsidR="00026C4B" w:rsidRDefault="00BB6F81" w:rsidP="00BD51E7">
      <w:pPr>
        <w:spacing w:before="100" w:beforeAutospacing="1" w:after="100" w:afterAutospacing="1" w:line="276" w:lineRule="auto"/>
        <w:ind w:firstLine="708"/>
        <w:jc w:val="both"/>
        <w:rPr>
          <w:rFonts w:ascii="Times New Roman" w:eastAsia="Times New Roman" w:hAnsi="Times New Roman" w:cs="Times New Roman"/>
          <w:sz w:val="24"/>
          <w:szCs w:val="24"/>
          <w:lang w:eastAsia="es-ES"/>
        </w:rPr>
      </w:pPr>
      <w:r w:rsidRPr="00E01D72">
        <w:rPr>
          <w:rFonts w:ascii="Times New Roman" w:eastAsia="Times New Roman" w:hAnsi="Times New Roman" w:cs="Times New Roman"/>
          <w:sz w:val="24"/>
          <w:szCs w:val="24"/>
          <w:lang w:eastAsia="es-ES"/>
        </w:rPr>
        <w:t xml:space="preserve">Igualmente, la IPSS ha participado en el desarrollo del III Curso de Derechos Humanos dirigido a mandos policiales de las FCSE. Estando prevista la continuidad y el fomento de las actividades formativas relacionadas con los </w:t>
      </w:r>
      <w:r w:rsidR="00CF3931" w:rsidRPr="00E01D72">
        <w:rPr>
          <w:rFonts w:ascii="Times New Roman" w:eastAsia="Times New Roman" w:hAnsi="Times New Roman" w:cs="Times New Roman"/>
          <w:sz w:val="24"/>
          <w:szCs w:val="24"/>
          <w:lang w:eastAsia="es-ES"/>
        </w:rPr>
        <w:t>derechos humanos</w:t>
      </w:r>
      <w:r w:rsidRPr="00E01D72">
        <w:rPr>
          <w:rFonts w:ascii="Times New Roman" w:eastAsia="Times New Roman" w:hAnsi="Times New Roman" w:cs="Times New Roman"/>
          <w:sz w:val="24"/>
          <w:szCs w:val="24"/>
          <w:lang w:eastAsia="es-ES"/>
        </w:rPr>
        <w:t xml:space="preserve"> tanto en el ámbito de la IPSS como en el de las FCSE. </w:t>
      </w:r>
    </w:p>
    <w:p w14:paraId="4F8946B3" w14:textId="77777777" w:rsidR="00BD51E7" w:rsidRPr="00BD51E7" w:rsidRDefault="00BD51E7" w:rsidP="00BD51E7">
      <w:pPr>
        <w:spacing w:before="100" w:beforeAutospacing="1" w:after="100" w:afterAutospacing="1" w:line="276" w:lineRule="auto"/>
        <w:ind w:firstLine="708"/>
        <w:jc w:val="both"/>
        <w:rPr>
          <w:rFonts w:ascii="Times New Roman" w:eastAsia="Times New Roman" w:hAnsi="Times New Roman" w:cs="Times New Roman"/>
          <w:sz w:val="12"/>
          <w:szCs w:val="12"/>
          <w:lang w:eastAsia="es-ES"/>
        </w:rPr>
      </w:pPr>
    </w:p>
    <w:p w14:paraId="606A213C" w14:textId="77777777" w:rsidR="00D90CF3" w:rsidRPr="00BD51E7" w:rsidRDefault="00E23DD7" w:rsidP="00E01D72">
      <w:pPr>
        <w:spacing w:line="276" w:lineRule="auto"/>
        <w:jc w:val="both"/>
        <w:rPr>
          <w:rFonts w:ascii="Times New Roman" w:hAnsi="Times New Roman" w:cs="Times New Roman"/>
          <w:b/>
          <w:sz w:val="28"/>
          <w:szCs w:val="24"/>
        </w:rPr>
      </w:pPr>
      <w:r>
        <w:rPr>
          <w:rFonts w:ascii="Times New Roman" w:hAnsi="Times New Roman" w:cs="Times New Roman"/>
          <w:b/>
          <w:sz w:val="28"/>
          <w:szCs w:val="24"/>
        </w:rPr>
        <w:t>Artículo 12 y 13</w:t>
      </w:r>
    </w:p>
    <w:p w14:paraId="6289DD53" w14:textId="77777777" w:rsidR="007E24F6" w:rsidRPr="00E01D72" w:rsidRDefault="00E23DD7" w:rsidP="00E01D72">
      <w:pPr>
        <w:spacing w:line="276" w:lineRule="auto"/>
        <w:jc w:val="both"/>
        <w:rPr>
          <w:rFonts w:ascii="Times New Roman" w:hAnsi="Times New Roman" w:cs="Times New Roman"/>
          <w:b/>
          <w:sz w:val="24"/>
          <w:szCs w:val="24"/>
        </w:rPr>
      </w:pPr>
      <w:r>
        <w:rPr>
          <w:rFonts w:ascii="Times New Roman" w:hAnsi="Times New Roman" w:cs="Times New Roman"/>
          <w:b/>
          <w:sz w:val="24"/>
          <w:szCs w:val="24"/>
        </w:rPr>
        <w:t xml:space="preserve">Respuesta al párrafo 27 de la lista de cuestiones </w:t>
      </w:r>
    </w:p>
    <w:p w14:paraId="5DFCB3E2" w14:textId="77777777" w:rsidR="00BD51E7" w:rsidRPr="00E23DD7" w:rsidRDefault="007E24F6" w:rsidP="00E23DD7">
      <w:pPr>
        <w:spacing w:line="276" w:lineRule="auto"/>
        <w:ind w:firstLine="708"/>
        <w:jc w:val="both"/>
        <w:rPr>
          <w:rFonts w:ascii="Times New Roman" w:hAnsi="Times New Roman" w:cs="Times New Roman"/>
          <w:sz w:val="24"/>
          <w:szCs w:val="24"/>
        </w:rPr>
      </w:pPr>
      <w:r w:rsidRPr="00E01D72">
        <w:rPr>
          <w:rFonts w:ascii="Times New Roman" w:hAnsi="Times New Roman" w:cs="Times New Roman"/>
          <w:sz w:val="24"/>
          <w:szCs w:val="24"/>
        </w:rPr>
        <w:t xml:space="preserve">En cuanto a la aprobación por el Ministerio de Justicia, mediante la Orden 16.09.1997, del “Protocolo que han de utilizar los Médicos Forenses en el reconocimiento de los detenidos”, actualmente se encuentra en tramitación el Proyecto de Real Decreto que establece dicho Protocolo. </w:t>
      </w:r>
      <w:r w:rsidR="001736CA" w:rsidRPr="00E01D72">
        <w:rPr>
          <w:rFonts w:ascii="Times New Roman" w:hAnsi="Times New Roman" w:cs="Times New Roman"/>
          <w:sz w:val="24"/>
          <w:szCs w:val="24"/>
        </w:rPr>
        <w:t xml:space="preserve">Este Protocolo tiene como objetivo que la información médica referente al detenido sea recogida de forma homogénea y clara. </w:t>
      </w:r>
    </w:p>
    <w:p w14:paraId="428DD32C" w14:textId="77777777" w:rsidR="005F4EB1" w:rsidRDefault="00BC3C12" w:rsidP="00E01D72">
      <w:pPr>
        <w:spacing w:before="100" w:beforeAutospacing="1" w:after="100" w:afterAutospacing="1" w:line="276" w:lineRule="auto"/>
        <w:ind w:firstLine="708"/>
        <w:jc w:val="both"/>
        <w:rPr>
          <w:rFonts w:ascii="Times New Roman" w:eastAsia="Calibri" w:hAnsi="Times New Roman" w:cs="Times New Roman"/>
          <w:sz w:val="24"/>
          <w:szCs w:val="24"/>
          <w:lang w:eastAsia="es-ES"/>
        </w:rPr>
      </w:pPr>
      <w:r>
        <w:rPr>
          <w:rFonts w:ascii="Times New Roman" w:eastAsia="Times New Roman" w:hAnsi="Times New Roman" w:cs="Times New Roman"/>
          <w:sz w:val="24"/>
          <w:szCs w:val="24"/>
          <w:lang w:eastAsia="es-ES"/>
        </w:rPr>
        <w:t xml:space="preserve">En febrero de </w:t>
      </w:r>
      <w:r w:rsidR="001736CA" w:rsidRPr="00E01D72">
        <w:rPr>
          <w:rFonts w:ascii="Times New Roman" w:eastAsia="Times New Roman" w:hAnsi="Times New Roman" w:cs="Times New Roman"/>
          <w:sz w:val="24"/>
          <w:szCs w:val="24"/>
          <w:lang w:eastAsia="es-ES"/>
        </w:rPr>
        <w:t>2022</w:t>
      </w:r>
      <w:r w:rsidR="00EB13A9" w:rsidRPr="00E01D72">
        <w:rPr>
          <w:rFonts w:ascii="Times New Roman" w:eastAsia="Times New Roman" w:hAnsi="Times New Roman" w:cs="Times New Roman"/>
          <w:sz w:val="24"/>
          <w:szCs w:val="24"/>
          <w:lang w:eastAsia="es-ES"/>
        </w:rPr>
        <w:t>,</w:t>
      </w:r>
      <w:r w:rsidR="001736CA" w:rsidRPr="00E01D72">
        <w:rPr>
          <w:rFonts w:ascii="Times New Roman" w:eastAsia="Times New Roman" w:hAnsi="Times New Roman" w:cs="Times New Roman"/>
          <w:sz w:val="24"/>
          <w:szCs w:val="24"/>
          <w:lang w:eastAsia="es-ES"/>
        </w:rPr>
        <w:t xml:space="preserve"> </w:t>
      </w:r>
      <w:r w:rsidR="004D1A93">
        <w:rPr>
          <w:rFonts w:ascii="Times New Roman" w:eastAsia="Times New Roman" w:hAnsi="Times New Roman" w:cs="Times New Roman"/>
          <w:bCs/>
          <w:sz w:val="24"/>
          <w:szCs w:val="24"/>
          <w:lang w:eastAsia="es-ES"/>
        </w:rPr>
        <w:t>se creó</w:t>
      </w:r>
      <w:r w:rsidR="00656E74" w:rsidRPr="00E01D72">
        <w:rPr>
          <w:rFonts w:ascii="Times New Roman" w:eastAsia="Times New Roman" w:hAnsi="Times New Roman" w:cs="Times New Roman"/>
          <w:bCs/>
          <w:sz w:val="24"/>
          <w:szCs w:val="24"/>
          <w:lang w:eastAsia="es-ES"/>
        </w:rPr>
        <w:t xml:space="preserve"> la Oficina Nacional de Garantía de los Derechos Humanos (</w:t>
      </w:r>
      <w:r w:rsidR="00E92556" w:rsidRPr="00E01D72">
        <w:rPr>
          <w:rFonts w:ascii="Times New Roman" w:eastAsia="Times New Roman" w:hAnsi="Times New Roman" w:cs="Times New Roman"/>
          <w:bCs/>
          <w:sz w:val="24"/>
          <w:szCs w:val="24"/>
          <w:lang w:eastAsia="es-ES"/>
        </w:rPr>
        <w:t xml:space="preserve">en adelante </w:t>
      </w:r>
      <w:r w:rsidR="00656E74" w:rsidRPr="00E01D72">
        <w:rPr>
          <w:rFonts w:ascii="Times New Roman" w:eastAsia="Times New Roman" w:hAnsi="Times New Roman" w:cs="Times New Roman"/>
          <w:bCs/>
          <w:sz w:val="24"/>
          <w:szCs w:val="24"/>
          <w:lang w:eastAsia="es-ES"/>
        </w:rPr>
        <w:t>ONGADH)</w:t>
      </w:r>
      <w:r w:rsidR="001736CA" w:rsidRPr="00E01D72">
        <w:rPr>
          <w:rStyle w:val="FootnoteReference"/>
          <w:rFonts w:ascii="Times New Roman" w:eastAsia="Times New Roman" w:hAnsi="Times New Roman" w:cs="Times New Roman"/>
          <w:bCs/>
          <w:sz w:val="24"/>
          <w:szCs w:val="24"/>
          <w:lang w:eastAsia="es-ES"/>
        </w:rPr>
        <w:footnoteReference w:id="11"/>
      </w:r>
      <w:r w:rsidR="00656E74" w:rsidRPr="00E01D72">
        <w:rPr>
          <w:rFonts w:ascii="Times New Roman" w:eastAsia="Times New Roman" w:hAnsi="Times New Roman" w:cs="Times New Roman"/>
          <w:sz w:val="24"/>
          <w:szCs w:val="24"/>
          <w:lang w:eastAsia="es-ES"/>
        </w:rPr>
        <w:t xml:space="preserve">, en el seno de la </w:t>
      </w:r>
      <w:r w:rsidR="00E92556" w:rsidRPr="00E01D72">
        <w:rPr>
          <w:rFonts w:ascii="Times New Roman" w:eastAsia="Times New Roman" w:hAnsi="Times New Roman" w:cs="Times New Roman"/>
          <w:sz w:val="24"/>
          <w:szCs w:val="24"/>
          <w:lang w:eastAsia="es-ES"/>
        </w:rPr>
        <w:t>IPSS</w:t>
      </w:r>
      <w:r w:rsidR="00656E74" w:rsidRPr="00E01D72">
        <w:rPr>
          <w:rFonts w:ascii="Times New Roman" w:eastAsia="Times New Roman" w:hAnsi="Times New Roman" w:cs="Times New Roman"/>
          <w:sz w:val="24"/>
          <w:szCs w:val="24"/>
          <w:lang w:eastAsia="es-ES"/>
        </w:rPr>
        <w:t xml:space="preserve">, </w:t>
      </w:r>
      <w:r w:rsidR="00EF390E">
        <w:rPr>
          <w:rFonts w:ascii="Times New Roman" w:eastAsia="Times New Roman" w:hAnsi="Times New Roman" w:cs="Times New Roman"/>
          <w:sz w:val="24"/>
          <w:szCs w:val="24"/>
          <w:lang w:eastAsia="es-ES"/>
        </w:rPr>
        <w:t>se tiene por objetivo</w:t>
      </w:r>
      <w:r w:rsidR="00656E74" w:rsidRPr="00E01D72">
        <w:rPr>
          <w:rFonts w:ascii="Times New Roman" w:eastAsia="Times New Roman" w:hAnsi="Times New Roman" w:cs="Times New Roman"/>
          <w:sz w:val="24"/>
          <w:szCs w:val="24"/>
          <w:lang w:eastAsia="es-ES"/>
        </w:rPr>
        <w:t xml:space="preserve"> el establecimiento de un mecanismo de seguimiento, coordinación y evaluación que coadyuve a visibilizar e impulsar el compromiso de las Fuerzas y Cuerpos de Seguridad del Estado (FCS</w:t>
      </w:r>
      <w:r w:rsidR="00E92556" w:rsidRPr="00E01D72">
        <w:rPr>
          <w:rFonts w:ascii="Times New Roman" w:eastAsia="Times New Roman" w:hAnsi="Times New Roman" w:cs="Times New Roman"/>
          <w:sz w:val="24"/>
          <w:szCs w:val="24"/>
          <w:lang w:eastAsia="es-ES"/>
        </w:rPr>
        <w:t xml:space="preserve">E) en el respeto a los derechos humanos. </w:t>
      </w:r>
      <w:r w:rsidR="00656E74" w:rsidRPr="00E01D72">
        <w:rPr>
          <w:rFonts w:ascii="Times New Roman" w:eastAsia="Times New Roman" w:hAnsi="Times New Roman" w:cs="Times New Roman"/>
          <w:sz w:val="24"/>
          <w:szCs w:val="24"/>
          <w:lang w:eastAsia="es-ES"/>
        </w:rPr>
        <w:t>La ONGADH asume las funciones y cometi</w:t>
      </w:r>
      <w:r w:rsidR="006318DD">
        <w:rPr>
          <w:rFonts w:ascii="Times New Roman" w:eastAsia="Times New Roman" w:hAnsi="Times New Roman" w:cs="Times New Roman"/>
          <w:sz w:val="24"/>
          <w:szCs w:val="24"/>
          <w:lang w:eastAsia="es-ES"/>
        </w:rPr>
        <w:t>dos que en este ámbito ya venía</w:t>
      </w:r>
      <w:r w:rsidR="00656E74" w:rsidRPr="00E01D72">
        <w:rPr>
          <w:rFonts w:ascii="Times New Roman" w:eastAsia="Times New Roman" w:hAnsi="Times New Roman" w:cs="Times New Roman"/>
          <w:sz w:val="24"/>
          <w:szCs w:val="24"/>
          <w:lang w:eastAsia="es-ES"/>
        </w:rPr>
        <w:t xml:space="preserve"> desarrollando </w:t>
      </w:r>
      <w:r w:rsidR="00D4469F" w:rsidRPr="00E01D72">
        <w:rPr>
          <w:rFonts w:ascii="Times New Roman" w:eastAsia="Times New Roman" w:hAnsi="Times New Roman" w:cs="Times New Roman"/>
          <w:sz w:val="24"/>
          <w:szCs w:val="24"/>
          <w:lang w:eastAsia="es-ES"/>
        </w:rPr>
        <w:t>la IPSS</w:t>
      </w:r>
      <w:r w:rsidR="00656E74" w:rsidRPr="00E01D72">
        <w:rPr>
          <w:rFonts w:ascii="Times New Roman" w:eastAsia="Times New Roman" w:hAnsi="Times New Roman" w:cs="Times New Roman"/>
          <w:sz w:val="24"/>
          <w:szCs w:val="24"/>
          <w:lang w:eastAsia="es-ES"/>
        </w:rPr>
        <w:t xml:space="preserve">, a la vez que acentúa y refuerza internamente las actuaciones dirigidas a garantizar la transparencia y el impulso del desarrollo de investigaciones completas y eficaces por hechos que puedan </w:t>
      </w:r>
      <w:r w:rsidR="00656E74" w:rsidRPr="00E01D72">
        <w:rPr>
          <w:rFonts w:ascii="Times New Roman" w:eastAsia="Times New Roman" w:hAnsi="Times New Roman" w:cs="Times New Roman"/>
          <w:sz w:val="24"/>
          <w:szCs w:val="24"/>
          <w:lang w:eastAsia="es-ES"/>
        </w:rPr>
        <w:lastRenderedPageBreak/>
        <w:t>poner de manifiesto potenciales vulneraciones de los derechos fundamentales durante las intervenciones policiales, respetando las competencias propias de las autoridades judiciales y disciplinarias en ejecución de las normas procesales vigentes. Una de las herramientas sobre las que debe apoyarse la actividad de la ONGADH es la aplicación informática en la que se recopilan datos actualizados de casos que puedan suponer una vulneración de los derechos fundamentales de las personas que se enc</w:t>
      </w:r>
      <w:r w:rsidR="00D4469F" w:rsidRPr="00E01D72">
        <w:rPr>
          <w:rFonts w:ascii="Times New Roman" w:eastAsia="Times New Roman" w:hAnsi="Times New Roman" w:cs="Times New Roman"/>
          <w:sz w:val="24"/>
          <w:szCs w:val="24"/>
          <w:lang w:eastAsia="es-ES"/>
        </w:rPr>
        <w:t>uentren bajo custodia policial.</w:t>
      </w:r>
      <w:r w:rsidR="00656E74" w:rsidRPr="00E01D72">
        <w:rPr>
          <w:rFonts w:ascii="Times New Roman" w:eastAsia="Times New Roman" w:hAnsi="Times New Roman" w:cs="Times New Roman"/>
          <w:sz w:val="24"/>
          <w:szCs w:val="24"/>
          <w:lang w:eastAsia="es-ES"/>
        </w:rPr>
        <w:t> </w:t>
      </w:r>
    </w:p>
    <w:p w14:paraId="55EB124E" w14:textId="77777777" w:rsidR="00F621EC" w:rsidRDefault="00F621EC" w:rsidP="00F621EC">
      <w:pPr>
        <w:spacing w:line="276" w:lineRule="auto"/>
        <w:jc w:val="both"/>
        <w:rPr>
          <w:rFonts w:ascii="Times New Roman" w:hAnsi="Times New Roman" w:cs="Times New Roman"/>
          <w:b/>
          <w:sz w:val="28"/>
          <w:szCs w:val="24"/>
          <w:highlight w:val="yellow"/>
        </w:rPr>
      </w:pPr>
    </w:p>
    <w:p w14:paraId="362A1394" w14:textId="77777777" w:rsidR="005F4EB1" w:rsidRPr="00F621EC" w:rsidRDefault="005F4EB1" w:rsidP="00F621EC">
      <w:pPr>
        <w:spacing w:line="276" w:lineRule="auto"/>
        <w:jc w:val="both"/>
        <w:rPr>
          <w:rFonts w:ascii="Times New Roman" w:hAnsi="Times New Roman" w:cs="Times New Roman"/>
          <w:b/>
          <w:sz w:val="28"/>
          <w:szCs w:val="24"/>
        </w:rPr>
      </w:pPr>
      <w:r w:rsidRPr="00F621EC">
        <w:rPr>
          <w:rFonts w:ascii="Times New Roman" w:hAnsi="Times New Roman" w:cs="Times New Roman"/>
          <w:b/>
          <w:sz w:val="28"/>
          <w:szCs w:val="24"/>
        </w:rPr>
        <w:t>Artículo 16</w:t>
      </w:r>
    </w:p>
    <w:p w14:paraId="073DD50F" w14:textId="77777777" w:rsidR="005F4EB1" w:rsidRPr="00F621EC" w:rsidRDefault="005F4EB1" w:rsidP="00F621EC">
      <w:pPr>
        <w:spacing w:line="276" w:lineRule="auto"/>
        <w:jc w:val="both"/>
        <w:rPr>
          <w:rFonts w:ascii="Times New Roman" w:hAnsi="Times New Roman" w:cs="Times New Roman"/>
          <w:b/>
          <w:sz w:val="24"/>
          <w:szCs w:val="24"/>
        </w:rPr>
      </w:pPr>
      <w:r w:rsidRPr="00F621EC">
        <w:rPr>
          <w:rFonts w:ascii="Times New Roman" w:hAnsi="Times New Roman" w:cs="Times New Roman"/>
          <w:b/>
          <w:sz w:val="24"/>
          <w:szCs w:val="24"/>
        </w:rPr>
        <w:t xml:space="preserve">Respuesta al párrafo 30 de la lista de cuestiones </w:t>
      </w:r>
    </w:p>
    <w:p w14:paraId="6A234E14" w14:textId="77777777" w:rsidR="00F621EC" w:rsidRPr="005F4EB1" w:rsidRDefault="00F621EC" w:rsidP="006D12CF">
      <w:pPr>
        <w:ind w:firstLine="708"/>
        <w:jc w:val="both"/>
        <w:rPr>
          <w:rFonts w:ascii="Times New Roman" w:eastAsia="Calibri" w:hAnsi="Times New Roman" w:cs="Times New Roman"/>
          <w:sz w:val="24"/>
          <w:szCs w:val="24"/>
          <w:lang w:eastAsia="es-ES"/>
        </w:rPr>
      </w:pPr>
      <w:r>
        <w:rPr>
          <w:rFonts w:ascii="Times New Roman" w:eastAsia="Calibri" w:hAnsi="Times New Roman" w:cs="Times New Roman"/>
          <w:sz w:val="24"/>
          <w:szCs w:val="24"/>
          <w:lang w:eastAsia="es-ES"/>
        </w:rPr>
        <w:t xml:space="preserve">Respecto a cuestiones que afectan directamente a las mujeres con discapacidad, relativas a la esterilización y derechos sexuales y reproductivos, con la aprobación de la Ley 8/2021, de 2 de junio, se reforma la legislación civil y procesal para el apoyo a las personas con discapacidad en el ejercicio de su capacidad jurídica. </w:t>
      </w:r>
    </w:p>
    <w:sectPr w:rsidR="00F621EC" w:rsidRPr="005F4EB1">
      <w:footerReference w:type="default" r:id="rId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A050B7" w14:textId="77777777" w:rsidR="008D23F9" w:rsidRDefault="008D23F9" w:rsidP="00C302E1">
      <w:pPr>
        <w:spacing w:after="0" w:line="240" w:lineRule="auto"/>
      </w:pPr>
      <w:r>
        <w:separator/>
      </w:r>
    </w:p>
  </w:endnote>
  <w:endnote w:type="continuationSeparator" w:id="0">
    <w:p w14:paraId="027582D9" w14:textId="77777777" w:rsidR="008D23F9" w:rsidRDefault="008D23F9" w:rsidP="00C302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5397884"/>
      <w:docPartObj>
        <w:docPartGallery w:val="Page Numbers (Bottom of Page)"/>
        <w:docPartUnique/>
      </w:docPartObj>
    </w:sdtPr>
    <w:sdtEndPr>
      <w:rPr>
        <w:rFonts w:ascii="Times New Roman" w:hAnsi="Times New Roman" w:cs="Times New Roman"/>
      </w:rPr>
    </w:sdtEndPr>
    <w:sdtContent>
      <w:p w14:paraId="6029BA51" w14:textId="77777777" w:rsidR="002D5B84" w:rsidRPr="002D5B84" w:rsidRDefault="002D5B84">
        <w:pPr>
          <w:pStyle w:val="Footer"/>
          <w:jc w:val="center"/>
          <w:rPr>
            <w:rFonts w:ascii="Times New Roman" w:hAnsi="Times New Roman" w:cs="Times New Roman"/>
          </w:rPr>
        </w:pPr>
        <w:r w:rsidRPr="002D5B84">
          <w:rPr>
            <w:rFonts w:ascii="Times New Roman" w:hAnsi="Times New Roman" w:cs="Times New Roman"/>
          </w:rPr>
          <w:fldChar w:fldCharType="begin"/>
        </w:r>
        <w:r w:rsidRPr="002D5B84">
          <w:rPr>
            <w:rFonts w:ascii="Times New Roman" w:hAnsi="Times New Roman" w:cs="Times New Roman"/>
          </w:rPr>
          <w:instrText>PAGE   \* MERGEFORMAT</w:instrText>
        </w:r>
        <w:r w:rsidRPr="002D5B84">
          <w:rPr>
            <w:rFonts w:ascii="Times New Roman" w:hAnsi="Times New Roman" w:cs="Times New Roman"/>
          </w:rPr>
          <w:fldChar w:fldCharType="separate"/>
        </w:r>
        <w:r w:rsidR="00ED7F58">
          <w:rPr>
            <w:rFonts w:ascii="Times New Roman" w:hAnsi="Times New Roman" w:cs="Times New Roman"/>
            <w:noProof/>
          </w:rPr>
          <w:t>10</w:t>
        </w:r>
        <w:r w:rsidRPr="002D5B84">
          <w:rPr>
            <w:rFonts w:ascii="Times New Roman" w:hAnsi="Times New Roman" w:cs="Times New Roman"/>
          </w:rPr>
          <w:fldChar w:fldCharType="end"/>
        </w:r>
      </w:p>
    </w:sdtContent>
  </w:sdt>
  <w:p w14:paraId="3BDDA6A5" w14:textId="77777777" w:rsidR="002D5B84" w:rsidRDefault="002D5B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7746DB" w14:textId="77777777" w:rsidR="008D23F9" w:rsidRDefault="008D23F9" w:rsidP="00C302E1">
      <w:pPr>
        <w:spacing w:after="0" w:line="240" w:lineRule="auto"/>
      </w:pPr>
      <w:r>
        <w:separator/>
      </w:r>
    </w:p>
  </w:footnote>
  <w:footnote w:type="continuationSeparator" w:id="0">
    <w:p w14:paraId="4985976A" w14:textId="77777777" w:rsidR="008D23F9" w:rsidRDefault="008D23F9" w:rsidP="00C302E1">
      <w:pPr>
        <w:spacing w:after="0" w:line="240" w:lineRule="auto"/>
      </w:pPr>
      <w:r>
        <w:continuationSeparator/>
      </w:r>
    </w:p>
  </w:footnote>
  <w:footnote w:id="1">
    <w:p w14:paraId="637BE731" w14:textId="77777777" w:rsidR="00800556" w:rsidRPr="00800556" w:rsidRDefault="00800556">
      <w:pPr>
        <w:pStyle w:val="FootnoteText"/>
        <w:rPr>
          <w:rFonts w:ascii="Times New Roman" w:hAnsi="Times New Roman" w:cs="Times New Roman"/>
          <w:lang w:val="es-ES_tradnl"/>
        </w:rPr>
      </w:pPr>
      <w:r w:rsidRPr="00800556">
        <w:rPr>
          <w:rStyle w:val="FootnoteReference"/>
          <w:rFonts w:ascii="Times New Roman" w:hAnsi="Times New Roman" w:cs="Times New Roman"/>
        </w:rPr>
        <w:footnoteRef/>
      </w:r>
      <w:r w:rsidRPr="00800556">
        <w:rPr>
          <w:rFonts w:ascii="Times New Roman" w:hAnsi="Times New Roman" w:cs="Times New Roman"/>
        </w:rPr>
        <w:t xml:space="preserve"> Real Decreto 141/2021, de 9 de marzo</w:t>
      </w:r>
      <w:r>
        <w:rPr>
          <w:rFonts w:ascii="Times New Roman" w:hAnsi="Times New Roman" w:cs="Times New Roman"/>
        </w:rPr>
        <w:t>.</w:t>
      </w:r>
    </w:p>
  </w:footnote>
  <w:footnote w:id="2">
    <w:p w14:paraId="23611C58" w14:textId="77777777" w:rsidR="00563543" w:rsidRPr="004B0734" w:rsidRDefault="00563543">
      <w:pPr>
        <w:pStyle w:val="FootnoteText"/>
        <w:rPr>
          <w:rFonts w:ascii="Times New Roman" w:hAnsi="Times New Roman" w:cs="Times New Roman"/>
          <w:lang w:val="es-ES_tradnl"/>
        </w:rPr>
      </w:pPr>
      <w:r w:rsidRPr="000C1DBA">
        <w:rPr>
          <w:rStyle w:val="FootnoteReference"/>
          <w:rFonts w:ascii="Times New Roman" w:hAnsi="Times New Roman" w:cs="Times New Roman"/>
        </w:rPr>
        <w:footnoteRef/>
      </w:r>
      <w:r w:rsidRPr="000C1DBA">
        <w:rPr>
          <w:rFonts w:ascii="Times New Roman" w:hAnsi="Times New Roman" w:cs="Times New Roman"/>
        </w:rPr>
        <w:t xml:space="preserve"> </w:t>
      </w:r>
      <w:r w:rsidRPr="00C93435">
        <w:rPr>
          <w:rFonts w:ascii="Times New Roman" w:hAnsi="Times New Roman" w:cs="Times New Roman"/>
          <w:lang w:val="es-ES_tradnl"/>
        </w:rPr>
        <w:t>Resolución de 28 de julio de 2021, de la Subsecretaría</w:t>
      </w:r>
      <w:r w:rsidR="00800556">
        <w:rPr>
          <w:rFonts w:ascii="Times New Roman" w:hAnsi="Times New Roman" w:cs="Times New Roman"/>
          <w:lang w:val="es-ES_tradnl"/>
        </w:rPr>
        <w:t>.</w:t>
      </w:r>
    </w:p>
  </w:footnote>
  <w:footnote w:id="3">
    <w:p w14:paraId="5F8911C4" w14:textId="77777777" w:rsidR="002F4C61" w:rsidRPr="002F4C61" w:rsidRDefault="002F4C61">
      <w:pPr>
        <w:pStyle w:val="FootnoteText"/>
        <w:rPr>
          <w:lang w:val="es-ES_tradnl"/>
        </w:rPr>
      </w:pPr>
      <w:r w:rsidRPr="00C93435">
        <w:rPr>
          <w:rStyle w:val="FootnoteReference"/>
        </w:rPr>
        <w:footnoteRef/>
      </w:r>
      <w:r w:rsidRPr="00C93435">
        <w:t xml:space="preserve"> </w:t>
      </w:r>
      <w:r w:rsidRPr="00C93435">
        <w:rPr>
          <w:rFonts w:ascii="Times New Roman" w:hAnsi="Times New Roman" w:cs="Times New Roman"/>
          <w:szCs w:val="24"/>
        </w:rPr>
        <w:t>Orden IGD/239/2022, de 25 de marzo, por la que se aprueban las bases reguladoras para la concesión de subvenciones públicas.</w:t>
      </w:r>
    </w:p>
  </w:footnote>
  <w:footnote w:id="4">
    <w:p w14:paraId="287B7614" w14:textId="77777777" w:rsidR="005D4246" w:rsidRPr="005D4246" w:rsidRDefault="005D4246">
      <w:pPr>
        <w:pStyle w:val="FootnoteText"/>
        <w:rPr>
          <w:rFonts w:ascii="Times New Roman" w:hAnsi="Times New Roman" w:cs="Times New Roman"/>
          <w:lang w:val="es-ES_tradnl"/>
        </w:rPr>
      </w:pPr>
      <w:r w:rsidRPr="005D4246">
        <w:rPr>
          <w:rStyle w:val="FootnoteReference"/>
          <w:rFonts w:ascii="Times New Roman" w:hAnsi="Times New Roman" w:cs="Times New Roman"/>
        </w:rPr>
        <w:footnoteRef/>
      </w:r>
      <w:r w:rsidRPr="005D4246">
        <w:rPr>
          <w:rFonts w:ascii="Times New Roman" w:hAnsi="Times New Roman" w:cs="Times New Roman"/>
        </w:rPr>
        <w:t xml:space="preserve"> BOE núm. 161, de 04 de julio de 2018</w:t>
      </w:r>
    </w:p>
  </w:footnote>
  <w:footnote w:id="5">
    <w:p w14:paraId="236DA9FF" w14:textId="77777777" w:rsidR="005D4246" w:rsidRPr="005D4246" w:rsidRDefault="005D4246">
      <w:pPr>
        <w:pStyle w:val="FootnoteText"/>
        <w:rPr>
          <w:rFonts w:ascii="Times New Roman" w:hAnsi="Times New Roman" w:cs="Times New Roman"/>
          <w:lang w:val="es-ES_tradnl"/>
        </w:rPr>
      </w:pPr>
      <w:r w:rsidRPr="005D4246">
        <w:rPr>
          <w:rStyle w:val="FootnoteReference"/>
          <w:rFonts w:ascii="Times New Roman" w:hAnsi="Times New Roman" w:cs="Times New Roman"/>
        </w:rPr>
        <w:footnoteRef/>
      </w:r>
      <w:r w:rsidRPr="005D4246">
        <w:rPr>
          <w:rFonts w:ascii="Times New Roman" w:hAnsi="Times New Roman" w:cs="Times New Roman"/>
        </w:rPr>
        <w:t xml:space="preserve"> BOE núm. 341, de 31 de diciembre de 2020</w:t>
      </w:r>
    </w:p>
  </w:footnote>
  <w:footnote w:id="6">
    <w:p w14:paraId="411F4F1D" w14:textId="77777777" w:rsidR="005D4246" w:rsidRPr="005D4246" w:rsidRDefault="005D4246">
      <w:pPr>
        <w:pStyle w:val="FootnoteText"/>
        <w:rPr>
          <w:lang w:val="es-ES_tradnl"/>
        </w:rPr>
      </w:pPr>
      <w:r w:rsidRPr="005D4246">
        <w:rPr>
          <w:rStyle w:val="FootnoteReference"/>
          <w:rFonts w:ascii="Times New Roman" w:hAnsi="Times New Roman" w:cs="Times New Roman"/>
        </w:rPr>
        <w:footnoteRef/>
      </w:r>
      <w:r w:rsidRPr="005D4246">
        <w:rPr>
          <w:rFonts w:ascii="Times New Roman" w:hAnsi="Times New Roman" w:cs="Times New Roman"/>
        </w:rPr>
        <w:t xml:space="preserve"> BOE núm. 312, de 29 de diciembre de 2021</w:t>
      </w:r>
    </w:p>
  </w:footnote>
  <w:footnote w:id="7">
    <w:p w14:paraId="692ADD34" w14:textId="77777777" w:rsidR="00EE5503" w:rsidRPr="000C1DBA" w:rsidRDefault="00EE5503">
      <w:pPr>
        <w:pStyle w:val="FootnoteText"/>
        <w:rPr>
          <w:rFonts w:ascii="Times New Roman" w:hAnsi="Times New Roman" w:cs="Times New Roman"/>
          <w:lang w:val="es-ES_tradnl"/>
        </w:rPr>
      </w:pPr>
      <w:r w:rsidRPr="000C1DBA">
        <w:rPr>
          <w:rStyle w:val="FootnoteReference"/>
          <w:rFonts w:ascii="Times New Roman" w:hAnsi="Times New Roman" w:cs="Times New Roman"/>
        </w:rPr>
        <w:footnoteRef/>
      </w:r>
      <w:r w:rsidRPr="000C1DBA">
        <w:rPr>
          <w:rFonts w:ascii="Times New Roman" w:hAnsi="Times New Roman" w:cs="Times New Roman"/>
        </w:rPr>
        <w:t xml:space="preserve"> </w:t>
      </w:r>
      <w:r w:rsidRPr="00BD1035">
        <w:rPr>
          <w:rFonts w:ascii="Times New Roman" w:hAnsi="Times New Roman" w:cs="Times New Roman"/>
        </w:rPr>
        <w:t>Real Decreto 455/2020, de 10 de marzo,</w:t>
      </w:r>
      <w:r w:rsidRPr="000C1DBA">
        <w:rPr>
          <w:rFonts w:ascii="Times New Roman" w:hAnsi="Times New Roman" w:cs="Times New Roman"/>
          <w:i/>
        </w:rPr>
        <w:t xml:space="preserve"> </w:t>
      </w:r>
      <w:r w:rsidRPr="000C1DBA">
        <w:rPr>
          <w:rFonts w:ascii="Times New Roman" w:hAnsi="Times New Roman" w:cs="Times New Roman"/>
        </w:rPr>
        <w:t>por el que se desarrolla la estructura orgánica básica del Ministerio de Igualdad.</w:t>
      </w:r>
    </w:p>
  </w:footnote>
  <w:footnote w:id="8">
    <w:p w14:paraId="2C7513A5" w14:textId="77777777" w:rsidR="00535FD2" w:rsidRPr="00535FD2" w:rsidRDefault="00535FD2">
      <w:pPr>
        <w:pStyle w:val="FootnoteText"/>
        <w:rPr>
          <w:lang w:val="es-ES_tradnl"/>
        </w:rPr>
      </w:pPr>
      <w:r>
        <w:rPr>
          <w:rStyle w:val="FootnoteReference"/>
        </w:rPr>
        <w:footnoteRef/>
      </w:r>
      <w:r>
        <w:t xml:space="preserve"> </w:t>
      </w:r>
      <w:r w:rsidRPr="00535FD2">
        <w:rPr>
          <w:rFonts w:ascii="Times New Roman" w:hAnsi="Times New Roman" w:cs="Times New Roman"/>
        </w:rPr>
        <w:t>Resolución de 8 de julio de 2022, de la Secretaría de Estado de Igualdad y contra la Violencia de Género, por la que se publica el Acuerdo de la Conferencia Sectorial de Igualdad, de 27 de mayo de 2022</w:t>
      </w:r>
      <w:r>
        <w:rPr>
          <w:rFonts w:ascii="Times New Roman" w:hAnsi="Times New Roman" w:cs="Times New Roman"/>
        </w:rPr>
        <w:t>.</w:t>
      </w:r>
    </w:p>
  </w:footnote>
  <w:footnote w:id="9">
    <w:p w14:paraId="227F6F2B" w14:textId="77777777" w:rsidR="00AF676F" w:rsidRPr="00AF676F" w:rsidRDefault="00AF676F">
      <w:pPr>
        <w:pStyle w:val="FootnoteText"/>
        <w:rPr>
          <w:rFonts w:ascii="Times New Roman" w:hAnsi="Times New Roman" w:cs="Times New Roman"/>
          <w:lang w:val="es-ES_tradnl"/>
        </w:rPr>
      </w:pPr>
      <w:r w:rsidRPr="00AF676F">
        <w:rPr>
          <w:rStyle w:val="FootnoteReference"/>
          <w:rFonts w:ascii="Times New Roman" w:hAnsi="Times New Roman" w:cs="Times New Roman"/>
        </w:rPr>
        <w:footnoteRef/>
      </w:r>
      <w:r w:rsidRPr="00AF676F">
        <w:rPr>
          <w:rFonts w:ascii="Times New Roman" w:hAnsi="Times New Roman" w:cs="Times New Roman"/>
        </w:rPr>
        <w:t xml:space="preserve"> Resolución de 7 de julio de 2022, de la Secretaría de Estado de Igualdad y contra la Violencia de Género.</w:t>
      </w:r>
    </w:p>
  </w:footnote>
  <w:footnote w:id="10">
    <w:p w14:paraId="0DD89061" w14:textId="77777777" w:rsidR="00487BB5" w:rsidRPr="00815C03" w:rsidRDefault="00487BB5">
      <w:pPr>
        <w:pStyle w:val="FootnoteText"/>
        <w:rPr>
          <w:rFonts w:ascii="Times New Roman" w:hAnsi="Times New Roman" w:cs="Times New Roman"/>
          <w:lang w:val="es-ES_tradnl"/>
        </w:rPr>
      </w:pPr>
      <w:r w:rsidRPr="00815C03">
        <w:rPr>
          <w:rStyle w:val="FootnoteReference"/>
          <w:rFonts w:ascii="Times New Roman" w:hAnsi="Times New Roman" w:cs="Times New Roman"/>
        </w:rPr>
        <w:footnoteRef/>
      </w:r>
      <w:r w:rsidRPr="00815C03">
        <w:rPr>
          <w:rFonts w:ascii="Times New Roman" w:hAnsi="Times New Roman" w:cs="Times New Roman"/>
        </w:rPr>
        <w:t xml:space="preserve"> </w:t>
      </w:r>
      <w:r w:rsidRPr="00815C03">
        <w:rPr>
          <w:rFonts w:ascii="Times New Roman" w:hAnsi="Times New Roman" w:cs="Times New Roman"/>
          <w:lang w:val="es-ES_tradnl"/>
        </w:rPr>
        <w:t>BOE 5/04/2022.</w:t>
      </w:r>
    </w:p>
  </w:footnote>
  <w:footnote w:id="11">
    <w:p w14:paraId="48277EDA" w14:textId="77777777" w:rsidR="001736CA" w:rsidRPr="001736CA" w:rsidRDefault="001736CA">
      <w:pPr>
        <w:pStyle w:val="FootnoteText"/>
        <w:rPr>
          <w:rFonts w:ascii="Times New Roman" w:hAnsi="Times New Roman" w:cs="Times New Roman"/>
          <w:lang w:val="es-ES_tradnl"/>
        </w:rPr>
      </w:pPr>
      <w:r w:rsidRPr="001736CA">
        <w:rPr>
          <w:rStyle w:val="FootnoteReference"/>
          <w:rFonts w:ascii="Times New Roman" w:hAnsi="Times New Roman" w:cs="Times New Roman"/>
        </w:rPr>
        <w:footnoteRef/>
      </w:r>
      <w:r w:rsidRPr="001736CA">
        <w:rPr>
          <w:rFonts w:ascii="Times New Roman" w:hAnsi="Times New Roman" w:cs="Times New Roman"/>
        </w:rPr>
        <w:t xml:space="preserve"> Instrucción 1/2022, de la Secretaría de Estado de Seguridad (SES).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A092F"/>
    <w:multiLevelType w:val="hybridMultilevel"/>
    <w:tmpl w:val="EAD0DC74"/>
    <w:lvl w:ilvl="0" w:tplc="0C0A0005">
      <w:start w:val="1"/>
      <w:numFmt w:val="bullet"/>
      <w:lvlText w:val=""/>
      <w:lvlJc w:val="left"/>
      <w:pPr>
        <w:ind w:left="1146" w:hanging="360"/>
      </w:pPr>
      <w:rPr>
        <w:rFonts w:ascii="Wingdings" w:hAnsi="Wingdings" w:hint="default"/>
      </w:rPr>
    </w:lvl>
    <w:lvl w:ilvl="1" w:tplc="0C0A0003" w:tentative="1">
      <w:start w:val="1"/>
      <w:numFmt w:val="bullet"/>
      <w:lvlText w:val="o"/>
      <w:lvlJc w:val="left"/>
      <w:pPr>
        <w:ind w:left="1866" w:hanging="360"/>
      </w:pPr>
      <w:rPr>
        <w:rFonts w:ascii="Courier New" w:hAnsi="Courier New" w:cs="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1" w15:restartNumberingAfterBreak="0">
    <w:nsid w:val="2E3323F5"/>
    <w:multiLevelType w:val="hybridMultilevel"/>
    <w:tmpl w:val="B2C4BE18"/>
    <w:lvl w:ilvl="0" w:tplc="73A27974">
      <w:start w:val="12"/>
      <w:numFmt w:val="bullet"/>
      <w:lvlText w:val="-"/>
      <w:lvlJc w:val="left"/>
      <w:pPr>
        <w:ind w:left="1068" w:hanging="360"/>
      </w:pPr>
      <w:rPr>
        <w:rFonts w:ascii="Calibri" w:eastAsia="Times New Roman" w:hAnsi="Calibri" w:cs="Calibri" w:hint="default"/>
        <w:sz w:val="24"/>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start w:val="1"/>
      <w:numFmt w:val="bullet"/>
      <w:lvlText w:val=""/>
      <w:lvlJc w:val="left"/>
      <w:pPr>
        <w:ind w:left="3228" w:hanging="360"/>
      </w:pPr>
      <w:rPr>
        <w:rFonts w:ascii="Symbol" w:hAnsi="Symbol" w:hint="default"/>
      </w:rPr>
    </w:lvl>
    <w:lvl w:ilvl="4" w:tplc="0C0A0003">
      <w:start w:val="1"/>
      <w:numFmt w:val="bullet"/>
      <w:lvlText w:val="o"/>
      <w:lvlJc w:val="left"/>
      <w:pPr>
        <w:ind w:left="3948" w:hanging="360"/>
      </w:pPr>
      <w:rPr>
        <w:rFonts w:ascii="Courier New" w:hAnsi="Courier New" w:cs="Courier New" w:hint="default"/>
      </w:rPr>
    </w:lvl>
    <w:lvl w:ilvl="5" w:tplc="0C0A0005">
      <w:start w:val="1"/>
      <w:numFmt w:val="bullet"/>
      <w:lvlText w:val=""/>
      <w:lvlJc w:val="left"/>
      <w:pPr>
        <w:ind w:left="4668" w:hanging="360"/>
      </w:pPr>
      <w:rPr>
        <w:rFonts w:ascii="Wingdings" w:hAnsi="Wingdings" w:hint="default"/>
      </w:rPr>
    </w:lvl>
    <w:lvl w:ilvl="6" w:tplc="0C0A0001">
      <w:start w:val="1"/>
      <w:numFmt w:val="bullet"/>
      <w:lvlText w:val=""/>
      <w:lvlJc w:val="left"/>
      <w:pPr>
        <w:ind w:left="5388" w:hanging="360"/>
      </w:pPr>
      <w:rPr>
        <w:rFonts w:ascii="Symbol" w:hAnsi="Symbol" w:hint="default"/>
      </w:rPr>
    </w:lvl>
    <w:lvl w:ilvl="7" w:tplc="0C0A0003">
      <w:start w:val="1"/>
      <w:numFmt w:val="bullet"/>
      <w:lvlText w:val="o"/>
      <w:lvlJc w:val="left"/>
      <w:pPr>
        <w:ind w:left="6108" w:hanging="360"/>
      </w:pPr>
      <w:rPr>
        <w:rFonts w:ascii="Courier New" w:hAnsi="Courier New" w:cs="Courier New" w:hint="default"/>
      </w:rPr>
    </w:lvl>
    <w:lvl w:ilvl="8" w:tplc="0C0A0005">
      <w:start w:val="1"/>
      <w:numFmt w:val="bullet"/>
      <w:lvlText w:val=""/>
      <w:lvlJc w:val="left"/>
      <w:pPr>
        <w:ind w:left="6828" w:hanging="360"/>
      </w:pPr>
      <w:rPr>
        <w:rFonts w:ascii="Wingdings" w:hAnsi="Wingdings" w:hint="default"/>
      </w:rPr>
    </w:lvl>
  </w:abstractNum>
  <w:abstractNum w:abstractNumId="2" w15:restartNumberingAfterBreak="0">
    <w:nsid w:val="35BE6A30"/>
    <w:multiLevelType w:val="hybridMultilevel"/>
    <w:tmpl w:val="6E704E16"/>
    <w:lvl w:ilvl="0" w:tplc="BE52E1C0">
      <w:numFmt w:val="bullet"/>
      <w:lvlText w:val="-"/>
      <w:lvlJc w:val="left"/>
      <w:pPr>
        <w:ind w:left="1068" w:hanging="360"/>
      </w:pPr>
      <w:rPr>
        <w:rFonts w:ascii="Calibri" w:eastAsia="Times New Roman" w:hAnsi="Calibri" w:cs="Calibri"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 w15:restartNumberingAfterBreak="0">
    <w:nsid w:val="3F2C3148"/>
    <w:multiLevelType w:val="hybridMultilevel"/>
    <w:tmpl w:val="CE74BDA4"/>
    <w:lvl w:ilvl="0" w:tplc="0C0A0003">
      <w:start w:val="1"/>
      <w:numFmt w:val="bullet"/>
      <w:lvlText w:val="o"/>
      <w:lvlJc w:val="left"/>
      <w:pPr>
        <w:ind w:left="1440" w:hanging="360"/>
      </w:pPr>
      <w:rPr>
        <w:rFonts w:ascii="Courier New" w:hAnsi="Courier New" w:cs="Courier New"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 w15:restartNumberingAfterBreak="0">
    <w:nsid w:val="40681801"/>
    <w:multiLevelType w:val="multilevel"/>
    <w:tmpl w:val="25D0E0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12E51B7"/>
    <w:multiLevelType w:val="multilevel"/>
    <w:tmpl w:val="5240EF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BA77B46"/>
    <w:multiLevelType w:val="hybridMultilevel"/>
    <w:tmpl w:val="127A2BF4"/>
    <w:lvl w:ilvl="0" w:tplc="0C0A0005">
      <w:start w:val="1"/>
      <w:numFmt w:val="bullet"/>
      <w:lvlText w:val=""/>
      <w:lvlJc w:val="left"/>
      <w:pPr>
        <w:ind w:left="1146" w:hanging="360"/>
      </w:pPr>
      <w:rPr>
        <w:rFonts w:ascii="Wingdings" w:hAnsi="Wingdings" w:hint="default"/>
      </w:rPr>
    </w:lvl>
    <w:lvl w:ilvl="1" w:tplc="0C0A0003">
      <w:start w:val="1"/>
      <w:numFmt w:val="bullet"/>
      <w:lvlText w:val="o"/>
      <w:lvlJc w:val="left"/>
      <w:pPr>
        <w:ind w:left="1866" w:hanging="360"/>
      </w:pPr>
      <w:rPr>
        <w:rFonts w:ascii="Courier New" w:hAnsi="Courier New" w:cs="Courier New"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7" w15:restartNumberingAfterBreak="0">
    <w:nsid w:val="54532885"/>
    <w:multiLevelType w:val="hybridMultilevel"/>
    <w:tmpl w:val="3D9ACFB2"/>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6EAC01AE"/>
    <w:multiLevelType w:val="hybridMultilevel"/>
    <w:tmpl w:val="5E403664"/>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793E067A"/>
    <w:multiLevelType w:val="hybridMultilevel"/>
    <w:tmpl w:val="5C802EBE"/>
    <w:lvl w:ilvl="0" w:tplc="0C0A0003">
      <w:start w:val="1"/>
      <w:numFmt w:val="bullet"/>
      <w:lvlText w:val="o"/>
      <w:lvlJc w:val="left"/>
      <w:pPr>
        <w:ind w:left="1800" w:hanging="360"/>
      </w:pPr>
      <w:rPr>
        <w:rFonts w:ascii="Courier New" w:hAnsi="Courier New" w:cs="Courier New" w:hint="default"/>
      </w:rPr>
    </w:lvl>
    <w:lvl w:ilvl="1" w:tplc="0C0A0003" w:tentative="1">
      <w:start w:val="1"/>
      <w:numFmt w:val="bullet"/>
      <w:lvlText w:val="o"/>
      <w:lvlJc w:val="left"/>
      <w:pPr>
        <w:ind w:left="2520" w:hanging="360"/>
      </w:pPr>
      <w:rPr>
        <w:rFonts w:ascii="Courier New" w:hAnsi="Courier New" w:cs="Courier New" w:hint="default"/>
      </w:rPr>
    </w:lvl>
    <w:lvl w:ilvl="2" w:tplc="0C0A0005" w:tentative="1">
      <w:start w:val="1"/>
      <w:numFmt w:val="bullet"/>
      <w:lvlText w:val=""/>
      <w:lvlJc w:val="left"/>
      <w:pPr>
        <w:ind w:left="3240" w:hanging="360"/>
      </w:pPr>
      <w:rPr>
        <w:rFonts w:ascii="Wingdings" w:hAnsi="Wingdings" w:hint="default"/>
      </w:rPr>
    </w:lvl>
    <w:lvl w:ilvl="3" w:tplc="0C0A0001" w:tentative="1">
      <w:start w:val="1"/>
      <w:numFmt w:val="bullet"/>
      <w:lvlText w:val=""/>
      <w:lvlJc w:val="left"/>
      <w:pPr>
        <w:ind w:left="3960" w:hanging="360"/>
      </w:pPr>
      <w:rPr>
        <w:rFonts w:ascii="Symbol" w:hAnsi="Symbol" w:hint="default"/>
      </w:rPr>
    </w:lvl>
    <w:lvl w:ilvl="4" w:tplc="0C0A0003" w:tentative="1">
      <w:start w:val="1"/>
      <w:numFmt w:val="bullet"/>
      <w:lvlText w:val="o"/>
      <w:lvlJc w:val="left"/>
      <w:pPr>
        <w:ind w:left="4680" w:hanging="360"/>
      </w:pPr>
      <w:rPr>
        <w:rFonts w:ascii="Courier New" w:hAnsi="Courier New" w:cs="Courier New" w:hint="default"/>
      </w:rPr>
    </w:lvl>
    <w:lvl w:ilvl="5" w:tplc="0C0A0005" w:tentative="1">
      <w:start w:val="1"/>
      <w:numFmt w:val="bullet"/>
      <w:lvlText w:val=""/>
      <w:lvlJc w:val="left"/>
      <w:pPr>
        <w:ind w:left="5400" w:hanging="360"/>
      </w:pPr>
      <w:rPr>
        <w:rFonts w:ascii="Wingdings" w:hAnsi="Wingdings" w:hint="default"/>
      </w:rPr>
    </w:lvl>
    <w:lvl w:ilvl="6" w:tplc="0C0A0001" w:tentative="1">
      <w:start w:val="1"/>
      <w:numFmt w:val="bullet"/>
      <w:lvlText w:val=""/>
      <w:lvlJc w:val="left"/>
      <w:pPr>
        <w:ind w:left="6120" w:hanging="360"/>
      </w:pPr>
      <w:rPr>
        <w:rFonts w:ascii="Symbol" w:hAnsi="Symbol" w:hint="default"/>
      </w:rPr>
    </w:lvl>
    <w:lvl w:ilvl="7" w:tplc="0C0A0003" w:tentative="1">
      <w:start w:val="1"/>
      <w:numFmt w:val="bullet"/>
      <w:lvlText w:val="o"/>
      <w:lvlJc w:val="left"/>
      <w:pPr>
        <w:ind w:left="6840" w:hanging="360"/>
      </w:pPr>
      <w:rPr>
        <w:rFonts w:ascii="Courier New" w:hAnsi="Courier New" w:cs="Courier New" w:hint="default"/>
      </w:rPr>
    </w:lvl>
    <w:lvl w:ilvl="8" w:tplc="0C0A0005" w:tentative="1">
      <w:start w:val="1"/>
      <w:numFmt w:val="bullet"/>
      <w:lvlText w:val=""/>
      <w:lvlJc w:val="left"/>
      <w:pPr>
        <w:ind w:left="7560" w:hanging="360"/>
      </w:pPr>
      <w:rPr>
        <w:rFonts w:ascii="Wingdings" w:hAnsi="Wingdings" w:hint="default"/>
      </w:rPr>
    </w:lvl>
  </w:abstractNum>
  <w:num w:numId="1" w16cid:durableId="1882132178">
    <w:abstractNumId w:val="6"/>
  </w:num>
  <w:num w:numId="2" w16cid:durableId="851801632">
    <w:abstractNumId w:val="0"/>
  </w:num>
  <w:num w:numId="3" w16cid:durableId="158079351">
    <w:abstractNumId w:val="7"/>
  </w:num>
  <w:num w:numId="4" w16cid:durableId="798769792">
    <w:abstractNumId w:val="8"/>
  </w:num>
  <w:num w:numId="5" w16cid:durableId="1979846009">
    <w:abstractNumId w:val="1"/>
  </w:num>
  <w:num w:numId="6" w16cid:durableId="345525534">
    <w:abstractNumId w:val="3"/>
  </w:num>
  <w:num w:numId="7" w16cid:durableId="788284652">
    <w:abstractNumId w:val="9"/>
  </w:num>
  <w:num w:numId="8" w16cid:durableId="1797066639">
    <w:abstractNumId w:val="2"/>
  </w:num>
  <w:num w:numId="9" w16cid:durableId="1481849441">
    <w:abstractNumId w:val="4"/>
  </w:num>
  <w:num w:numId="10" w16cid:durableId="94334579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31E7"/>
    <w:rsid w:val="000124C3"/>
    <w:rsid w:val="00015C2F"/>
    <w:rsid w:val="00026C4B"/>
    <w:rsid w:val="000610F4"/>
    <w:rsid w:val="00067CD9"/>
    <w:rsid w:val="00087DA7"/>
    <w:rsid w:val="000B5C2B"/>
    <w:rsid w:val="000B67D1"/>
    <w:rsid w:val="000C1DBA"/>
    <w:rsid w:val="000C3A26"/>
    <w:rsid w:val="000C5625"/>
    <w:rsid w:val="000E1D92"/>
    <w:rsid w:val="000E46D6"/>
    <w:rsid w:val="000F417D"/>
    <w:rsid w:val="000F67B8"/>
    <w:rsid w:val="000F7333"/>
    <w:rsid w:val="001113D7"/>
    <w:rsid w:val="001142FF"/>
    <w:rsid w:val="001246FA"/>
    <w:rsid w:val="00142F67"/>
    <w:rsid w:val="001503D0"/>
    <w:rsid w:val="001707D6"/>
    <w:rsid w:val="001736CA"/>
    <w:rsid w:val="001739B4"/>
    <w:rsid w:val="00190ADA"/>
    <w:rsid w:val="00196CE6"/>
    <w:rsid w:val="001A188D"/>
    <w:rsid w:val="001A61DC"/>
    <w:rsid w:val="001A7E6E"/>
    <w:rsid w:val="001B1DC7"/>
    <w:rsid w:val="001C3C64"/>
    <w:rsid w:val="001E25D2"/>
    <w:rsid w:val="001F40D1"/>
    <w:rsid w:val="0020512C"/>
    <w:rsid w:val="00213F69"/>
    <w:rsid w:val="00244F7B"/>
    <w:rsid w:val="00267D07"/>
    <w:rsid w:val="002713C9"/>
    <w:rsid w:val="00273A3B"/>
    <w:rsid w:val="002779C5"/>
    <w:rsid w:val="00295FC9"/>
    <w:rsid w:val="002C3B73"/>
    <w:rsid w:val="002D5B84"/>
    <w:rsid w:val="002D610C"/>
    <w:rsid w:val="002D7EA9"/>
    <w:rsid w:val="002F4C61"/>
    <w:rsid w:val="003106C0"/>
    <w:rsid w:val="00324E87"/>
    <w:rsid w:val="003322BE"/>
    <w:rsid w:val="00333C6B"/>
    <w:rsid w:val="00344CA6"/>
    <w:rsid w:val="00364F6F"/>
    <w:rsid w:val="00376885"/>
    <w:rsid w:val="00384E26"/>
    <w:rsid w:val="00385096"/>
    <w:rsid w:val="00390164"/>
    <w:rsid w:val="003930C0"/>
    <w:rsid w:val="003F6371"/>
    <w:rsid w:val="00401BF3"/>
    <w:rsid w:val="00401D4C"/>
    <w:rsid w:val="0041592F"/>
    <w:rsid w:val="00416BD4"/>
    <w:rsid w:val="00422F90"/>
    <w:rsid w:val="00423555"/>
    <w:rsid w:val="00427301"/>
    <w:rsid w:val="00445478"/>
    <w:rsid w:val="004535DC"/>
    <w:rsid w:val="004617EB"/>
    <w:rsid w:val="004652E1"/>
    <w:rsid w:val="0048096D"/>
    <w:rsid w:val="00483A21"/>
    <w:rsid w:val="00486A98"/>
    <w:rsid w:val="00487BB5"/>
    <w:rsid w:val="004A4B7B"/>
    <w:rsid w:val="004A76FC"/>
    <w:rsid w:val="004B0734"/>
    <w:rsid w:val="004D1A93"/>
    <w:rsid w:val="004D320B"/>
    <w:rsid w:val="004F0CA9"/>
    <w:rsid w:val="004F4F1A"/>
    <w:rsid w:val="00503A3F"/>
    <w:rsid w:val="00514645"/>
    <w:rsid w:val="00535FD2"/>
    <w:rsid w:val="00536FC7"/>
    <w:rsid w:val="00543D6E"/>
    <w:rsid w:val="0055114E"/>
    <w:rsid w:val="00556916"/>
    <w:rsid w:val="00563543"/>
    <w:rsid w:val="00572E9E"/>
    <w:rsid w:val="005A115D"/>
    <w:rsid w:val="005B05A1"/>
    <w:rsid w:val="005C4E10"/>
    <w:rsid w:val="005D23AC"/>
    <w:rsid w:val="005D4246"/>
    <w:rsid w:val="005D4C5F"/>
    <w:rsid w:val="005E6BCE"/>
    <w:rsid w:val="005F2708"/>
    <w:rsid w:val="005F4EB1"/>
    <w:rsid w:val="006318DD"/>
    <w:rsid w:val="006420F5"/>
    <w:rsid w:val="00656E74"/>
    <w:rsid w:val="00670B5D"/>
    <w:rsid w:val="0068342D"/>
    <w:rsid w:val="00687B01"/>
    <w:rsid w:val="0069198F"/>
    <w:rsid w:val="006B6E05"/>
    <w:rsid w:val="006C5A8C"/>
    <w:rsid w:val="006C67A6"/>
    <w:rsid w:val="006D12CF"/>
    <w:rsid w:val="006D2F79"/>
    <w:rsid w:val="006E0C5E"/>
    <w:rsid w:val="006E7D7C"/>
    <w:rsid w:val="006F7B4F"/>
    <w:rsid w:val="007037BC"/>
    <w:rsid w:val="00707463"/>
    <w:rsid w:val="00720FC8"/>
    <w:rsid w:val="007242B7"/>
    <w:rsid w:val="007259CB"/>
    <w:rsid w:val="00726F69"/>
    <w:rsid w:val="00730E7B"/>
    <w:rsid w:val="00744BB1"/>
    <w:rsid w:val="007573E5"/>
    <w:rsid w:val="0076314E"/>
    <w:rsid w:val="00772949"/>
    <w:rsid w:val="00773481"/>
    <w:rsid w:val="007877CD"/>
    <w:rsid w:val="00791871"/>
    <w:rsid w:val="00792CDE"/>
    <w:rsid w:val="00796D38"/>
    <w:rsid w:val="007A200E"/>
    <w:rsid w:val="007B02B2"/>
    <w:rsid w:val="007B23B4"/>
    <w:rsid w:val="007B681B"/>
    <w:rsid w:val="007C409A"/>
    <w:rsid w:val="007E24F6"/>
    <w:rsid w:val="007E635A"/>
    <w:rsid w:val="007E7E72"/>
    <w:rsid w:val="007F70C0"/>
    <w:rsid w:val="00800556"/>
    <w:rsid w:val="008140FA"/>
    <w:rsid w:val="00815C03"/>
    <w:rsid w:val="00821A85"/>
    <w:rsid w:val="008221BC"/>
    <w:rsid w:val="008418F9"/>
    <w:rsid w:val="00854CD9"/>
    <w:rsid w:val="008556DC"/>
    <w:rsid w:val="008622DD"/>
    <w:rsid w:val="008718A0"/>
    <w:rsid w:val="00881DCE"/>
    <w:rsid w:val="008925F6"/>
    <w:rsid w:val="008A0B09"/>
    <w:rsid w:val="008A0B3B"/>
    <w:rsid w:val="008A6E7B"/>
    <w:rsid w:val="008B5605"/>
    <w:rsid w:val="008D23F9"/>
    <w:rsid w:val="008F0AD1"/>
    <w:rsid w:val="00906E25"/>
    <w:rsid w:val="00906E2E"/>
    <w:rsid w:val="00912320"/>
    <w:rsid w:val="00934292"/>
    <w:rsid w:val="00945ACB"/>
    <w:rsid w:val="00951206"/>
    <w:rsid w:val="009521E5"/>
    <w:rsid w:val="00972BB6"/>
    <w:rsid w:val="00982F88"/>
    <w:rsid w:val="00987B05"/>
    <w:rsid w:val="009A61DE"/>
    <w:rsid w:val="009D0636"/>
    <w:rsid w:val="009D10A9"/>
    <w:rsid w:val="009D614A"/>
    <w:rsid w:val="009F06FA"/>
    <w:rsid w:val="00A078A5"/>
    <w:rsid w:val="00A10AE2"/>
    <w:rsid w:val="00A14672"/>
    <w:rsid w:val="00A26049"/>
    <w:rsid w:val="00A26A79"/>
    <w:rsid w:val="00A334A8"/>
    <w:rsid w:val="00A432CF"/>
    <w:rsid w:val="00A625B6"/>
    <w:rsid w:val="00A74D67"/>
    <w:rsid w:val="00A90152"/>
    <w:rsid w:val="00A95852"/>
    <w:rsid w:val="00AA53FE"/>
    <w:rsid w:val="00AA6E3A"/>
    <w:rsid w:val="00AD31E7"/>
    <w:rsid w:val="00AD6F0F"/>
    <w:rsid w:val="00AE6CBC"/>
    <w:rsid w:val="00AE7C4F"/>
    <w:rsid w:val="00AF39C8"/>
    <w:rsid w:val="00AF676F"/>
    <w:rsid w:val="00B02941"/>
    <w:rsid w:val="00B255AE"/>
    <w:rsid w:val="00B30CA2"/>
    <w:rsid w:val="00B366EF"/>
    <w:rsid w:val="00B45E90"/>
    <w:rsid w:val="00B467F1"/>
    <w:rsid w:val="00B55A23"/>
    <w:rsid w:val="00B55BBF"/>
    <w:rsid w:val="00B56EE3"/>
    <w:rsid w:val="00B62A58"/>
    <w:rsid w:val="00B847EB"/>
    <w:rsid w:val="00B87F38"/>
    <w:rsid w:val="00B92A36"/>
    <w:rsid w:val="00BB1630"/>
    <w:rsid w:val="00BB6F81"/>
    <w:rsid w:val="00BC1626"/>
    <w:rsid w:val="00BC3C12"/>
    <w:rsid w:val="00BC6748"/>
    <w:rsid w:val="00BD1035"/>
    <w:rsid w:val="00BD3602"/>
    <w:rsid w:val="00BD3788"/>
    <w:rsid w:val="00BD51E7"/>
    <w:rsid w:val="00BE6AAC"/>
    <w:rsid w:val="00BF1159"/>
    <w:rsid w:val="00BF326C"/>
    <w:rsid w:val="00C0400B"/>
    <w:rsid w:val="00C243A9"/>
    <w:rsid w:val="00C25349"/>
    <w:rsid w:val="00C302E1"/>
    <w:rsid w:val="00C42C56"/>
    <w:rsid w:val="00C52967"/>
    <w:rsid w:val="00C61B48"/>
    <w:rsid w:val="00C61D48"/>
    <w:rsid w:val="00C708C6"/>
    <w:rsid w:val="00C73067"/>
    <w:rsid w:val="00C77D8B"/>
    <w:rsid w:val="00C93435"/>
    <w:rsid w:val="00C93C6E"/>
    <w:rsid w:val="00CC3DEC"/>
    <w:rsid w:val="00CE63DD"/>
    <w:rsid w:val="00CF3931"/>
    <w:rsid w:val="00CF3ACF"/>
    <w:rsid w:val="00D24049"/>
    <w:rsid w:val="00D27647"/>
    <w:rsid w:val="00D37D54"/>
    <w:rsid w:val="00D4469F"/>
    <w:rsid w:val="00D64BD7"/>
    <w:rsid w:val="00D6751F"/>
    <w:rsid w:val="00D87F02"/>
    <w:rsid w:val="00D90CF3"/>
    <w:rsid w:val="00D90DCC"/>
    <w:rsid w:val="00D929AA"/>
    <w:rsid w:val="00DB0F95"/>
    <w:rsid w:val="00DB1B0B"/>
    <w:rsid w:val="00DE7BFA"/>
    <w:rsid w:val="00DF6D44"/>
    <w:rsid w:val="00E00201"/>
    <w:rsid w:val="00E01D72"/>
    <w:rsid w:val="00E02118"/>
    <w:rsid w:val="00E23DD7"/>
    <w:rsid w:val="00E46932"/>
    <w:rsid w:val="00E479A1"/>
    <w:rsid w:val="00E665BF"/>
    <w:rsid w:val="00E72451"/>
    <w:rsid w:val="00E80440"/>
    <w:rsid w:val="00E86021"/>
    <w:rsid w:val="00E92556"/>
    <w:rsid w:val="00EA6388"/>
    <w:rsid w:val="00EB13A9"/>
    <w:rsid w:val="00EB4681"/>
    <w:rsid w:val="00ED7F58"/>
    <w:rsid w:val="00EE5503"/>
    <w:rsid w:val="00EF390E"/>
    <w:rsid w:val="00F621EC"/>
    <w:rsid w:val="00F6722C"/>
    <w:rsid w:val="00F7286D"/>
    <w:rsid w:val="00F74F75"/>
    <w:rsid w:val="00F80FF9"/>
    <w:rsid w:val="00F96E3F"/>
    <w:rsid w:val="00F96F03"/>
    <w:rsid w:val="00FA27E7"/>
    <w:rsid w:val="00FB5450"/>
    <w:rsid w:val="00FD07CC"/>
    <w:rsid w:val="00FE1B99"/>
    <w:rsid w:val="00FE5E17"/>
    <w:rsid w:val="00FF0E9C"/>
    <w:rsid w:val="00FF36FC"/>
    <w:rsid w:val="00FF3A77"/>
    <w:rsid w:val="00FF7E7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90FDA9"/>
  <w15:chartTrackingRefBased/>
  <w15:docId w15:val="{05309096-3591-4348-9434-23F3141C1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1E25D2"/>
    <w:rPr>
      <w:color w:val="0000FF"/>
      <w:u w:val="single"/>
    </w:rPr>
  </w:style>
  <w:style w:type="paragraph" w:styleId="ListParagraph">
    <w:name w:val="List Paragraph"/>
    <w:basedOn w:val="Normal"/>
    <w:uiPriority w:val="34"/>
    <w:qFormat/>
    <w:rsid w:val="001E25D2"/>
    <w:pPr>
      <w:spacing w:after="0" w:line="240" w:lineRule="auto"/>
      <w:ind w:left="720"/>
      <w:contextualSpacing/>
      <w:jc w:val="both"/>
    </w:pPr>
    <w:rPr>
      <w:rFonts w:ascii="Times New Roman" w:eastAsia="Times New Roman" w:hAnsi="Times New Roman" w:cs="Times New Roman"/>
      <w:szCs w:val="20"/>
      <w:lang w:val="es-ES_tradnl" w:eastAsia="es-ES"/>
    </w:rPr>
  </w:style>
  <w:style w:type="paragraph" w:styleId="FootnoteText">
    <w:name w:val="footnote text"/>
    <w:basedOn w:val="Normal"/>
    <w:link w:val="FootnoteTextChar"/>
    <w:uiPriority w:val="99"/>
    <w:semiHidden/>
    <w:unhideWhenUsed/>
    <w:rsid w:val="00C302E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302E1"/>
    <w:rPr>
      <w:sz w:val="20"/>
      <w:szCs w:val="20"/>
    </w:rPr>
  </w:style>
  <w:style w:type="character" w:styleId="FootnoteReference">
    <w:name w:val="footnote reference"/>
    <w:basedOn w:val="DefaultParagraphFont"/>
    <w:uiPriority w:val="99"/>
    <w:semiHidden/>
    <w:unhideWhenUsed/>
    <w:rsid w:val="00C302E1"/>
    <w:rPr>
      <w:vertAlign w:val="superscript"/>
    </w:rPr>
  </w:style>
  <w:style w:type="character" w:styleId="FollowedHyperlink">
    <w:name w:val="FollowedHyperlink"/>
    <w:basedOn w:val="DefaultParagraphFont"/>
    <w:uiPriority w:val="99"/>
    <w:semiHidden/>
    <w:unhideWhenUsed/>
    <w:rsid w:val="00687B01"/>
    <w:rPr>
      <w:color w:val="954F72" w:themeColor="followedHyperlink"/>
      <w:u w:val="single"/>
    </w:rPr>
  </w:style>
  <w:style w:type="paragraph" w:customStyle="1" w:styleId="SingleTxtG">
    <w:name w:val="_ Single Txt_G"/>
    <w:basedOn w:val="Normal"/>
    <w:rsid w:val="00982F88"/>
    <w:pPr>
      <w:spacing w:after="120" w:line="240" w:lineRule="atLeast"/>
      <w:ind w:left="1134" w:right="1134"/>
      <w:jc w:val="both"/>
    </w:pPr>
    <w:rPr>
      <w:rFonts w:ascii="Times New Roman" w:eastAsia="Times New Roman" w:hAnsi="Times New Roman" w:cs="Times New Roman"/>
      <w:sz w:val="20"/>
      <w:szCs w:val="20"/>
      <w:lang w:eastAsia="es-ES"/>
    </w:rPr>
  </w:style>
  <w:style w:type="paragraph" w:styleId="BalloonText">
    <w:name w:val="Balloon Text"/>
    <w:basedOn w:val="Normal"/>
    <w:link w:val="BalloonTextChar"/>
    <w:uiPriority w:val="99"/>
    <w:semiHidden/>
    <w:unhideWhenUsed/>
    <w:rsid w:val="002D5B8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5B84"/>
    <w:rPr>
      <w:rFonts w:ascii="Segoe UI" w:hAnsi="Segoe UI" w:cs="Segoe UI"/>
      <w:sz w:val="18"/>
      <w:szCs w:val="18"/>
    </w:rPr>
  </w:style>
  <w:style w:type="paragraph" w:styleId="Header">
    <w:name w:val="header"/>
    <w:basedOn w:val="Normal"/>
    <w:link w:val="HeaderChar"/>
    <w:uiPriority w:val="99"/>
    <w:unhideWhenUsed/>
    <w:rsid w:val="002D5B84"/>
    <w:pPr>
      <w:tabs>
        <w:tab w:val="center" w:pos="4252"/>
        <w:tab w:val="right" w:pos="8504"/>
      </w:tabs>
      <w:spacing w:after="0" w:line="240" w:lineRule="auto"/>
    </w:pPr>
  </w:style>
  <w:style w:type="character" w:customStyle="1" w:styleId="HeaderChar">
    <w:name w:val="Header Char"/>
    <w:basedOn w:val="DefaultParagraphFont"/>
    <w:link w:val="Header"/>
    <w:uiPriority w:val="99"/>
    <w:rsid w:val="002D5B84"/>
  </w:style>
  <w:style w:type="paragraph" w:styleId="Footer">
    <w:name w:val="footer"/>
    <w:basedOn w:val="Normal"/>
    <w:link w:val="FooterChar"/>
    <w:uiPriority w:val="99"/>
    <w:unhideWhenUsed/>
    <w:rsid w:val="002D5B84"/>
    <w:pPr>
      <w:tabs>
        <w:tab w:val="center" w:pos="4252"/>
        <w:tab w:val="right" w:pos="8504"/>
      </w:tabs>
      <w:spacing w:after="0" w:line="240" w:lineRule="auto"/>
    </w:pPr>
  </w:style>
  <w:style w:type="character" w:customStyle="1" w:styleId="FooterChar">
    <w:name w:val="Footer Char"/>
    <w:basedOn w:val="DefaultParagraphFont"/>
    <w:link w:val="Footer"/>
    <w:uiPriority w:val="99"/>
    <w:rsid w:val="002D5B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6759210">
      <w:bodyDiv w:val="1"/>
      <w:marLeft w:val="0"/>
      <w:marRight w:val="0"/>
      <w:marTop w:val="0"/>
      <w:marBottom w:val="0"/>
      <w:divBdr>
        <w:top w:val="none" w:sz="0" w:space="0" w:color="auto"/>
        <w:left w:val="none" w:sz="0" w:space="0" w:color="auto"/>
        <w:bottom w:val="none" w:sz="0" w:space="0" w:color="auto"/>
        <w:right w:val="none" w:sz="0" w:space="0" w:color="auto"/>
      </w:divBdr>
    </w:div>
    <w:div w:id="730931714">
      <w:bodyDiv w:val="1"/>
      <w:marLeft w:val="0"/>
      <w:marRight w:val="0"/>
      <w:marTop w:val="0"/>
      <w:marBottom w:val="0"/>
      <w:divBdr>
        <w:top w:val="none" w:sz="0" w:space="0" w:color="auto"/>
        <w:left w:val="none" w:sz="0" w:space="0" w:color="auto"/>
        <w:bottom w:val="none" w:sz="0" w:space="0" w:color="auto"/>
        <w:right w:val="none" w:sz="0" w:space="0" w:color="auto"/>
      </w:divBdr>
    </w:div>
    <w:div w:id="1532956113">
      <w:bodyDiv w:val="1"/>
      <w:marLeft w:val="0"/>
      <w:marRight w:val="0"/>
      <w:marTop w:val="0"/>
      <w:marBottom w:val="0"/>
      <w:divBdr>
        <w:top w:val="none" w:sz="0" w:space="0" w:color="auto"/>
        <w:left w:val="none" w:sz="0" w:space="0" w:color="auto"/>
        <w:bottom w:val="none" w:sz="0" w:space="0" w:color="auto"/>
        <w:right w:val="none" w:sz="0" w:space="0" w:color="auto"/>
      </w:divBdr>
    </w:div>
    <w:div w:id="1563901894">
      <w:bodyDiv w:val="1"/>
      <w:marLeft w:val="0"/>
      <w:marRight w:val="0"/>
      <w:marTop w:val="0"/>
      <w:marBottom w:val="0"/>
      <w:divBdr>
        <w:top w:val="none" w:sz="0" w:space="0" w:color="auto"/>
        <w:left w:val="none" w:sz="0" w:space="0" w:color="auto"/>
        <w:bottom w:val="none" w:sz="0" w:space="0" w:color="auto"/>
        <w:right w:val="none" w:sz="0" w:space="0" w:color="auto"/>
      </w:divBdr>
    </w:div>
    <w:div w:id="1909219086">
      <w:bodyDiv w:val="1"/>
      <w:marLeft w:val="0"/>
      <w:marRight w:val="0"/>
      <w:marTop w:val="0"/>
      <w:marBottom w:val="0"/>
      <w:divBdr>
        <w:top w:val="none" w:sz="0" w:space="0" w:color="auto"/>
        <w:left w:val="none" w:sz="0" w:space="0" w:color="auto"/>
        <w:bottom w:val="none" w:sz="0" w:space="0" w:color="auto"/>
        <w:right w:val="none" w:sz="0" w:space="0" w:color="auto"/>
      </w:divBdr>
    </w:div>
    <w:div w:id="1945502862">
      <w:bodyDiv w:val="1"/>
      <w:marLeft w:val="0"/>
      <w:marRight w:val="0"/>
      <w:marTop w:val="0"/>
      <w:marBottom w:val="0"/>
      <w:divBdr>
        <w:top w:val="none" w:sz="0" w:space="0" w:color="auto"/>
        <w:left w:val="none" w:sz="0" w:space="0" w:color="auto"/>
        <w:bottom w:val="none" w:sz="0" w:space="0" w:color="auto"/>
        <w:right w:val="none" w:sz="0" w:space="0" w:color="auto"/>
      </w:divBdr>
    </w:div>
    <w:div w:id="2028367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olenciagenero.igualdad.gob.es/violenciaEnCifras/boletines/boletinAnual/home.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iolenciagenero.igualdad.gob.es/violenciaEnCifras/boletines/boletinAnual/home.h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A2A584-9E36-482F-AAD2-83E6817B4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3962</Words>
  <Characters>22587</Characters>
  <Application>Microsoft Office Word</Application>
  <DocSecurity>4</DocSecurity>
  <Lines>188</Lines>
  <Paragraphs>52</Paragraphs>
  <ScaleCrop>false</ScaleCrop>
  <HeadingPairs>
    <vt:vector size="2" baseType="variant">
      <vt:variant>
        <vt:lpstr>Título</vt:lpstr>
      </vt:variant>
      <vt:variant>
        <vt:i4>1</vt:i4>
      </vt:variant>
    </vt:vector>
  </HeadingPairs>
  <TitlesOfParts>
    <vt:vector size="1" baseType="lpstr">
      <vt:lpstr/>
    </vt:vector>
  </TitlesOfParts>
  <Company>MAEC</Company>
  <LinksUpToDate>false</LinksUpToDate>
  <CharactersWithSpaces>26497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Montalbán Pulido, Andrea</dc:creator>
  <cp:keywords/>
  <dc:description/>
  <cp:lastModifiedBy>Javier Leoz Invernon</cp:lastModifiedBy>
  <cp:revision>2</cp:revision>
  <cp:lastPrinted>2023-05-24T11:49:00Z</cp:lastPrinted>
  <dcterms:created xsi:type="dcterms:W3CDTF">2023-05-31T21:02:00Z</dcterms:created>
  <dcterms:modified xsi:type="dcterms:W3CDTF">2023-05-31T21:02:00Z</dcterms:modified>
</cp:coreProperties>
</file>